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09" w:firstLineChars="34"/>
        <w:rPr>
          <w:rFonts w:ascii="仿宋_GB2312" w:hAnsi="楷体" w:eastAsia="仿宋_GB2312"/>
          <w:b/>
          <w:szCs w:val="32"/>
          <w:lang w:val="en-GB"/>
        </w:rPr>
      </w:pPr>
      <w:bookmarkStart w:id="0" w:name="_Toc321438102"/>
      <w:bookmarkStart w:id="1" w:name="_Toc321438143"/>
    </w:p>
    <w:p>
      <w:pPr>
        <w:spacing w:line="700" w:lineRule="exact"/>
        <w:ind w:firstLine="109" w:firstLineChars="34"/>
        <w:rPr>
          <w:rFonts w:ascii="仿宋_GB2312" w:hAnsi="楷体" w:eastAsia="仿宋_GB2312"/>
          <w:b/>
          <w:szCs w:val="32"/>
        </w:rPr>
      </w:pPr>
    </w:p>
    <w:p>
      <w:pPr>
        <w:widowControl w:val="0"/>
        <w:adjustRightInd w:val="0"/>
        <w:snapToGrid w:val="0"/>
        <w:spacing w:after="0" w:line="560" w:lineRule="exact"/>
        <w:ind w:firstLine="0" w:firstLineChars="0"/>
        <w:jc w:val="center"/>
        <w:rPr>
          <w:rFonts w:hint="eastAsia" w:ascii="方正小标宋_GBK" w:hAnsi="Calibri" w:eastAsia="方正小标宋_GBK"/>
          <w:bCs/>
          <w:color w:val="000000"/>
          <w:spacing w:val="20"/>
          <w:sz w:val="48"/>
          <w:szCs w:val="48"/>
        </w:rPr>
      </w:pPr>
      <w:bookmarkStart w:id="2" w:name="_Hlk70003221"/>
      <w:r>
        <w:rPr>
          <w:rFonts w:hint="eastAsia" w:ascii="方正小标宋_GBK" w:hAnsi="Calibri" w:eastAsia="方正小标宋_GBK"/>
          <w:bCs/>
          <w:color w:val="000000"/>
          <w:spacing w:val="20"/>
          <w:sz w:val="48"/>
          <w:szCs w:val="48"/>
        </w:rPr>
        <w:t>三亚市“十四五”招商引资发展规划</w:t>
      </w:r>
    </w:p>
    <w:bookmarkEnd w:id="2"/>
    <w:p>
      <w:pPr>
        <w:spacing w:line="600" w:lineRule="exact"/>
        <w:ind w:firstLine="643"/>
        <w:jc w:val="center"/>
        <w:rPr>
          <w:rFonts w:ascii="仿宋_GB2312" w:hAnsi="楷体" w:eastAsia="仿宋_GB2312"/>
          <w:b/>
          <w:bCs/>
          <w:szCs w:val="32"/>
        </w:rPr>
      </w:pPr>
    </w:p>
    <w:p>
      <w:pPr>
        <w:spacing w:after="301"/>
        <w:ind w:firstLine="640"/>
        <w:jc w:val="center"/>
        <w:rPr>
          <w:rFonts w:ascii="仿宋_GB2312" w:hAnsi="楷体" w:eastAsia="仿宋_GB2312"/>
          <w:szCs w:val="32"/>
        </w:rPr>
      </w:pPr>
    </w:p>
    <w:p>
      <w:pPr>
        <w:spacing w:after="301"/>
        <w:ind w:firstLine="640"/>
        <w:jc w:val="center"/>
        <w:rPr>
          <w:rFonts w:ascii="仿宋_GB2312" w:hAnsi="楷体" w:eastAsia="仿宋_GB2312"/>
          <w:szCs w:val="32"/>
        </w:rPr>
      </w:pPr>
    </w:p>
    <w:p>
      <w:pPr>
        <w:spacing w:after="301"/>
        <w:ind w:firstLine="640"/>
        <w:jc w:val="center"/>
        <w:rPr>
          <w:rFonts w:ascii="仿宋_GB2312" w:hAnsi="楷体" w:eastAsia="仿宋_GB2312"/>
          <w:szCs w:val="32"/>
        </w:rPr>
      </w:pPr>
    </w:p>
    <w:p>
      <w:pPr>
        <w:spacing w:after="301"/>
        <w:ind w:firstLine="643"/>
        <w:jc w:val="center"/>
        <w:rPr>
          <w:rFonts w:ascii="仿宋_GB2312" w:hAnsi="楷体" w:eastAsia="仿宋_GB2312"/>
          <w:b/>
          <w:szCs w:val="32"/>
        </w:rPr>
      </w:pPr>
    </w:p>
    <w:p>
      <w:pPr>
        <w:spacing w:after="301"/>
        <w:ind w:firstLine="0" w:firstLineChars="0"/>
        <w:rPr>
          <w:rFonts w:ascii="仿宋_GB2312" w:hAnsi="楷体" w:eastAsia="仿宋_GB2312"/>
          <w:b/>
          <w:szCs w:val="32"/>
        </w:rPr>
      </w:pPr>
    </w:p>
    <w:p>
      <w:pPr>
        <w:spacing w:after="301"/>
        <w:ind w:firstLine="0" w:firstLineChars="0"/>
        <w:rPr>
          <w:rFonts w:ascii="仿宋_GB2312" w:hAnsi="楷体" w:eastAsia="仿宋_GB2312"/>
          <w:b/>
          <w:szCs w:val="32"/>
        </w:rPr>
      </w:pPr>
    </w:p>
    <w:p>
      <w:pPr>
        <w:spacing w:after="301"/>
        <w:ind w:firstLine="0" w:firstLineChars="0"/>
        <w:jc w:val="left"/>
        <w:rPr>
          <w:rFonts w:ascii="仿宋_GB2312" w:hAnsi="楷体" w:eastAsia="仿宋_GB2312"/>
          <w:b/>
          <w:szCs w:val="32"/>
        </w:rPr>
      </w:pPr>
    </w:p>
    <w:p>
      <w:pPr>
        <w:spacing w:after="301"/>
        <w:ind w:firstLine="0" w:firstLineChars="0"/>
        <w:jc w:val="left"/>
        <w:rPr>
          <w:rFonts w:ascii="仿宋_GB2312" w:hAnsi="楷体" w:eastAsia="仿宋_GB2312"/>
          <w:b/>
          <w:szCs w:val="32"/>
        </w:rPr>
      </w:pPr>
    </w:p>
    <w:p>
      <w:pPr>
        <w:spacing w:line="578" w:lineRule="atLeast"/>
        <w:ind w:left="0" w:leftChars="0" w:firstLine="0" w:firstLineChars="0"/>
        <w:jc w:val="both"/>
        <w:rPr>
          <w:rFonts w:hint="eastAsia" w:ascii="方正小标宋简体" w:hAnsi="方正小标宋简体" w:eastAsia="方正小标宋简体" w:cs="方正小标宋简体"/>
          <w:b/>
          <w:bCs/>
          <w:sz w:val="44"/>
          <w:szCs w:val="44"/>
        </w:rPr>
      </w:pPr>
    </w:p>
    <w:p>
      <w:pPr>
        <w:pStyle w:val="2"/>
        <w:rPr>
          <w:rFonts w:hint="eastAsia"/>
        </w:rPr>
      </w:pPr>
    </w:p>
    <w:p>
      <w:pPr>
        <w:spacing w:line="578" w:lineRule="atLeast"/>
        <w:ind w:left="0" w:leftChars="0" w:firstLine="0" w:firstLineChars="0"/>
        <w:jc w:val="center"/>
        <w:rPr>
          <w:rFonts w:hint="eastAsia" w:ascii="方正小标宋简体" w:hAnsi="方正小标宋简体" w:eastAsia="方正小标宋简体" w:cs="方正小标宋简体"/>
          <w:b/>
          <w:bCs/>
          <w:sz w:val="44"/>
          <w:szCs w:val="44"/>
        </w:rPr>
      </w:pPr>
    </w:p>
    <w:p>
      <w:pPr>
        <w:widowControl w:val="0"/>
        <w:adjustRightInd w:val="0"/>
        <w:snapToGrid w:val="0"/>
        <w:spacing w:after="0" w:line="600" w:lineRule="exact"/>
        <w:ind w:firstLine="0" w:firstLineChars="0"/>
        <w:jc w:val="center"/>
        <w:rPr>
          <w:rFonts w:hint="eastAsia" w:ascii="宋体" w:hAnsi="Calibri" w:eastAsia="宋体"/>
          <w:b/>
          <w:color w:val="000000"/>
          <w:sz w:val="36"/>
          <w:szCs w:val="36"/>
          <w:lang w:val="en-US" w:eastAsia="zh-CN"/>
        </w:rPr>
      </w:pPr>
    </w:p>
    <w:p>
      <w:pPr>
        <w:widowControl w:val="0"/>
        <w:adjustRightInd w:val="0"/>
        <w:snapToGrid w:val="0"/>
        <w:spacing w:after="0" w:line="600" w:lineRule="exact"/>
        <w:ind w:firstLine="0" w:firstLineChars="0"/>
        <w:jc w:val="center"/>
        <w:rPr>
          <w:rFonts w:hint="eastAsia" w:ascii="方正小标宋简体" w:hAnsi="方正小标宋简体" w:eastAsia="方正小标宋简体" w:cs="方正小标宋简体"/>
          <w:b/>
          <w:bCs/>
          <w:sz w:val="44"/>
          <w:szCs w:val="44"/>
        </w:rPr>
      </w:pPr>
      <w:r>
        <w:rPr>
          <w:rFonts w:hint="eastAsia" w:ascii="宋体" w:hAnsi="Calibri" w:eastAsia="宋体"/>
          <w:b/>
          <w:color w:val="000000"/>
          <w:sz w:val="36"/>
          <w:szCs w:val="36"/>
          <w:lang w:val="en-US" w:eastAsia="zh-CN"/>
        </w:rPr>
        <w:t>2022</w:t>
      </w:r>
      <w:r>
        <w:rPr>
          <w:rFonts w:hint="eastAsia" w:ascii="宋体" w:hAnsi="Calibri" w:eastAsia="宋体"/>
          <w:b/>
          <w:color w:val="000000"/>
          <w:sz w:val="36"/>
          <w:szCs w:val="36"/>
        </w:rPr>
        <w:t>年</w:t>
      </w:r>
      <w:r>
        <w:rPr>
          <w:rFonts w:hint="eastAsia" w:ascii="宋体" w:hAnsi="Calibri" w:eastAsia="宋体"/>
          <w:b/>
          <w:color w:val="000000"/>
          <w:sz w:val="36"/>
          <w:szCs w:val="36"/>
          <w:lang w:val="en-US" w:eastAsia="zh-CN"/>
        </w:rPr>
        <w:t>2</w:t>
      </w:r>
      <w:r>
        <w:rPr>
          <w:rFonts w:hint="eastAsia" w:ascii="宋体" w:hAnsi="Calibri" w:eastAsia="宋体"/>
          <w:b/>
          <w:color w:val="000000"/>
          <w:sz w:val="36"/>
          <w:szCs w:val="36"/>
        </w:rPr>
        <w:t>月</w:t>
      </w: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rPr>
          <w:rFonts w:hint="eastAsia"/>
        </w:rPr>
      </w:pPr>
    </w:p>
    <w:p>
      <w:pPr>
        <w:pStyle w:val="21"/>
        <w:spacing w:line="578" w:lineRule="atLeast"/>
        <w:rPr>
          <w:rFonts w:hint="eastAsia" w:ascii="仿宋_GB2312" w:hAnsi="仿宋_GB2312" w:eastAsia="仿宋_GB2312" w:cs="仿宋_GB2312"/>
          <w:caps w:val="0"/>
          <w:szCs w:val="32"/>
        </w:rPr>
      </w:pPr>
    </w:p>
    <w:p>
      <w:pPr>
        <w:pStyle w:val="21"/>
        <w:spacing w:line="578" w:lineRule="atLeast"/>
        <w:rPr>
          <w:rFonts w:hint="eastAsia" w:ascii="仿宋_GB2312" w:hAnsi="仿宋_GB2312" w:eastAsia="仿宋_GB2312" w:cs="仿宋_GB2312"/>
          <w:caps w:val="0"/>
          <w:szCs w:val="32"/>
        </w:rPr>
      </w:pPr>
    </w:p>
    <w:p>
      <w:pPr>
        <w:widowControl w:val="0"/>
        <w:adjustRightInd w:val="0"/>
        <w:snapToGrid w:val="0"/>
        <w:ind w:left="0" w:leftChars="0" w:firstLine="0" w:firstLineChars="0"/>
        <w:jc w:val="center"/>
        <w:rPr>
          <w:rFonts w:hint="eastAsia" w:ascii="方正小标宋简体" w:eastAsia="方正小标宋简体"/>
          <w:bCs/>
          <w:color w:val="000000"/>
          <w:sz w:val="44"/>
          <w:szCs w:val="44"/>
        </w:rPr>
        <w:sectPr>
          <w:headerReference r:id="rId5" w:type="default"/>
          <w:footerReference r:id="rId6" w:type="default"/>
          <w:pgSz w:w="11900" w:h="16840"/>
          <w:pgMar w:top="1928" w:right="1531" w:bottom="1701" w:left="1531" w:header="567" w:footer="567" w:gutter="0"/>
          <w:cols w:space="0" w:num="1"/>
          <w:rtlGutter w:val="0"/>
          <w:docGrid w:type="lines" w:linePitch="604" w:charSpace="0"/>
        </w:sectPr>
      </w:pPr>
    </w:p>
    <w:p>
      <w:pPr>
        <w:widowControl w:val="0"/>
        <w:adjustRightInd w:val="0"/>
        <w:snapToGrid w:val="0"/>
        <w:ind w:left="0" w:leftChars="0" w:firstLine="0" w:firstLineChars="0"/>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目  录</w:t>
      </w:r>
    </w:p>
    <w:p>
      <w:pPr>
        <w:pStyle w:val="21"/>
        <w:spacing w:line="578" w:lineRule="atLeast"/>
        <w:rPr>
          <w:rFonts w:ascii="仿宋_GB2312" w:hAnsi="仿宋_GB2312" w:eastAsia="仿宋_GB2312" w:cs="仿宋_GB2312"/>
          <w:caps w:val="0"/>
          <w:szCs w:val="32"/>
        </w:rPr>
      </w:pPr>
    </w:p>
    <w:sdt>
      <w:sdtPr>
        <w:rPr>
          <w:rFonts w:hint="eastAsia" w:ascii="仿宋_GB2312" w:hAnsi="楷体" w:eastAsia="仿宋_GB2312"/>
          <w:b w:val="0"/>
          <w:bCs w:val="0"/>
          <w:caps w:val="0"/>
          <w:szCs w:val="32"/>
        </w:rPr>
        <w:id w:val="-1166780410"/>
        <w:docPartObj>
          <w:docPartGallery w:val="Table of Contents"/>
          <w:docPartUnique/>
        </w:docPartObj>
      </w:sdtPr>
      <w:sdtEndPr>
        <w:rPr>
          <w:rFonts w:hint="eastAsia" w:ascii="仿宋_GB2312" w:hAnsi="楷体" w:eastAsia="仿宋_GB2312"/>
          <w:b/>
          <w:bCs/>
          <w:caps/>
          <w:szCs w:val="32"/>
        </w:rPr>
      </w:sdtEndPr>
      <w:sdtContent>
        <w:p>
          <w:pPr>
            <w:pStyle w:val="21"/>
            <w:rPr>
              <w:rFonts w:ascii="仿宋_GB2312" w:eastAsia="仿宋_GB2312" w:hAnsiTheme="minorHAnsi" w:cstheme="minorBidi"/>
              <w:b w:val="0"/>
              <w:bCs w:val="0"/>
              <w:caps w:val="0"/>
              <w:kern w:val="0"/>
              <w:sz w:val="22"/>
              <w:szCs w:val="22"/>
              <w:lang w:val="en-GB"/>
            </w:rPr>
          </w:pPr>
          <w:r>
            <w:rPr>
              <w:rFonts w:hint="eastAsia" w:ascii="仿宋_GB2312" w:hAnsi="楷体" w:eastAsia="仿宋_GB2312"/>
              <w:szCs w:val="32"/>
            </w:rPr>
            <w:fldChar w:fldCharType="begin"/>
          </w:r>
          <w:r>
            <w:rPr>
              <w:rFonts w:hint="eastAsia" w:ascii="仿宋_GB2312" w:hAnsi="楷体" w:eastAsia="仿宋_GB2312"/>
              <w:szCs w:val="32"/>
            </w:rPr>
            <w:instrText xml:space="preserve"> TOC \o "1-2" \h \z \u </w:instrText>
          </w:r>
          <w:r>
            <w:rPr>
              <w:rFonts w:hint="eastAsia" w:ascii="仿宋_GB2312" w:hAnsi="楷体" w:eastAsia="仿宋_GB2312"/>
              <w:szCs w:val="32"/>
            </w:rPr>
            <w:fldChar w:fldCharType="separate"/>
          </w: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"_Toc75191012" </w:instrText>
          </w:r>
          <w:r>
            <w:rPr>
              <w:rFonts w:hint="eastAsia" w:ascii="黑体" w:hAnsi="黑体" w:eastAsia="黑体" w:cs="黑体"/>
              <w:b w:val="0"/>
              <w:bCs w:val="0"/>
            </w:rPr>
            <w:fldChar w:fldCharType="separate"/>
          </w:r>
          <w:r>
            <w:rPr>
              <w:rStyle w:val="38"/>
              <w:rFonts w:hint="eastAsia" w:ascii="黑体" w:hAnsi="黑体" w:eastAsia="黑体" w:cs="黑体"/>
              <w:b w:val="0"/>
              <w:bCs w:val="0"/>
            </w:rPr>
            <w:t>前</w:t>
          </w:r>
          <w:r>
            <w:rPr>
              <w:rStyle w:val="38"/>
              <w:rFonts w:hint="eastAsia" w:cs="黑体"/>
              <w:b w:val="0"/>
              <w:bCs w:val="0"/>
              <w:lang w:val="en-US" w:eastAsia="zh-CN"/>
            </w:rPr>
            <w:t xml:space="preserve">  </w:t>
          </w:r>
          <w:r>
            <w:rPr>
              <w:rStyle w:val="38"/>
              <w:rFonts w:hint="eastAsia" w:ascii="黑体" w:hAnsi="黑体" w:eastAsia="黑体" w:cs="黑体"/>
              <w:b w:val="0"/>
              <w:bCs w:val="0"/>
            </w:rPr>
            <w:t>言</w:t>
          </w:r>
          <w:r>
            <w:rPr>
              <w:rFonts w:hint="eastAsia" w:ascii="黑体" w:hAnsi="黑体" w:eastAsia="黑体" w:cs="黑体"/>
              <w:b w:val="0"/>
              <w:bCs w:val="0"/>
            </w:rPr>
            <w:tab/>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PAGEREF _Toc75191012 \h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5</w:t>
          </w:r>
          <w:r>
            <w:rPr>
              <w:rFonts w:hint="eastAsia" w:ascii="仿宋_GB2312" w:hAnsi="仿宋_GB2312" w:eastAsia="仿宋_GB2312" w:cs="仿宋_GB2312"/>
              <w:b w:val="0"/>
              <w:bCs w:val="0"/>
            </w:rPr>
            <w:fldChar w:fldCharType="end"/>
          </w:r>
          <w:r>
            <w:rPr>
              <w:rFonts w:hint="eastAsia" w:ascii="黑体" w:hAnsi="黑体" w:eastAsia="黑体" w:cs="黑体"/>
              <w:b w:val="0"/>
              <w:bCs w:val="0"/>
            </w:rPr>
            <w:fldChar w:fldCharType="end"/>
          </w:r>
        </w:p>
        <w:p>
          <w:pPr>
            <w:pStyle w:val="21"/>
            <w:rPr>
              <w:rFonts w:hint="eastAsia" w:ascii="黑体" w:hAnsi="黑体" w:eastAsia="黑体" w:cs="黑体"/>
              <w:b w:val="0"/>
              <w:bCs w:val="0"/>
              <w:caps w:val="0"/>
              <w:kern w:val="0"/>
              <w:sz w:val="32"/>
              <w:szCs w:val="32"/>
              <w:lang w:val="en-GB"/>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"_Toc75191013" </w:instrText>
          </w:r>
          <w:r>
            <w:rPr>
              <w:rFonts w:hint="eastAsia" w:ascii="黑体" w:hAnsi="黑体" w:eastAsia="黑体" w:cs="黑体"/>
              <w:b w:val="0"/>
              <w:bCs w:val="0"/>
              <w:sz w:val="32"/>
              <w:szCs w:val="32"/>
            </w:rPr>
            <w:fldChar w:fldCharType="separate"/>
          </w:r>
          <w:r>
            <w:rPr>
              <w:rStyle w:val="38"/>
              <w:rFonts w:hint="eastAsia" w:ascii="黑体" w:hAnsi="黑体" w:eastAsia="黑体" w:cs="黑体"/>
              <w:b w:val="0"/>
              <w:bCs w:val="0"/>
              <w:sz w:val="32"/>
              <w:szCs w:val="32"/>
            </w:rPr>
            <w:t>一、“十三五”招商引资工作回顾</w:t>
          </w:r>
          <w:r>
            <w:rPr>
              <w:rFonts w:hint="eastAsia" w:ascii="黑体" w:hAnsi="黑体" w:eastAsia="黑体" w:cs="黑体"/>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_Toc75191013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sz w:val="32"/>
              <w:szCs w:val="32"/>
            </w:rPr>
            <w:fldChar w:fldCharType="end"/>
          </w:r>
        </w:p>
        <w:p>
          <w:pPr>
            <w:pStyle w:val="21"/>
            <w:rPr>
              <w:rFonts w:hint="eastAsia" w:ascii="黑体" w:hAnsi="黑体" w:eastAsia="黑体" w:cs="黑体"/>
              <w:b w:val="0"/>
              <w:bCs w:val="0"/>
              <w:caps w:val="0"/>
              <w:kern w:val="0"/>
              <w:sz w:val="32"/>
              <w:szCs w:val="32"/>
              <w:lang w:val="en-GB"/>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"_Toc75191014" </w:instrText>
          </w:r>
          <w:r>
            <w:rPr>
              <w:rFonts w:hint="eastAsia" w:ascii="黑体" w:hAnsi="黑体" w:eastAsia="黑体" w:cs="黑体"/>
              <w:b w:val="0"/>
              <w:bCs w:val="0"/>
              <w:sz w:val="32"/>
              <w:szCs w:val="32"/>
            </w:rPr>
            <w:fldChar w:fldCharType="separate"/>
          </w:r>
          <w:r>
            <w:rPr>
              <w:rStyle w:val="38"/>
              <w:rFonts w:hint="eastAsia" w:ascii="黑体" w:hAnsi="黑体" w:eastAsia="黑体" w:cs="黑体"/>
              <w:b w:val="0"/>
              <w:bCs w:val="0"/>
              <w:sz w:val="32"/>
              <w:szCs w:val="32"/>
            </w:rPr>
            <w:t>二、“十四五”招商引资面临形势</w:t>
          </w:r>
          <w:r>
            <w:rPr>
              <w:rFonts w:hint="eastAsia" w:ascii="黑体" w:hAnsi="黑体" w:eastAsia="黑体" w:cs="黑体"/>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_Toc75191014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sz w:val="32"/>
              <w:szCs w:val="32"/>
            </w:rPr>
            <w:fldChar w:fldCharType="end"/>
          </w:r>
        </w:p>
        <w:p>
          <w:pPr>
            <w:pStyle w:val="21"/>
            <w:rPr>
              <w:rFonts w:hint="eastAsia" w:ascii="黑体" w:hAnsi="黑体" w:eastAsia="黑体" w:cs="黑体"/>
              <w:caps w:val="0"/>
              <w:kern w:val="0"/>
              <w:sz w:val="32"/>
              <w:szCs w:val="32"/>
              <w:lang w:val="en-GB"/>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"_Toc75191015" </w:instrText>
          </w:r>
          <w:r>
            <w:rPr>
              <w:rFonts w:hint="eastAsia" w:ascii="黑体" w:hAnsi="黑体" w:eastAsia="黑体" w:cs="黑体"/>
              <w:b w:val="0"/>
              <w:bCs w:val="0"/>
              <w:sz w:val="32"/>
              <w:szCs w:val="32"/>
            </w:rPr>
            <w:fldChar w:fldCharType="separate"/>
          </w:r>
          <w:r>
            <w:rPr>
              <w:rStyle w:val="38"/>
              <w:rFonts w:hint="eastAsia" w:ascii="黑体" w:hAnsi="黑体" w:eastAsia="黑体" w:cs="黑体"/>
              <w:b w:val="0"/>
              <w:bCs w:val="0"/>
              <w:sz w:val="32"/>
              <w:szCs w:val="32"/>
            </w:rPr>
            <w:t>三、指导思想和基本原则</w:t>
          </w:r>
          <w:r>
            <w:rPr>
              <w:rFonts w:hint="eastAsia" w:ascii="黑体" w:hAnsi="黑体" w:eastAsia="黑体" w:cs="黑体"/>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_Toc75191015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"_Toc75191016"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（一）指导思想</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_Toc75191016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caps/>
              <w:smallCaps w:val="0"/>
              <w:kern w:val="2"/>
              <w:sz w:val="32"/>
              <w:szCs w:val="32"/>
              <w:lang w:val="en-GB" w:eastAsia="zh-CN" w:bidi="ar-SA"/>
            </w:rPr>
          </w:pP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HYPERLINK \l "_Toc75191017"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（二）基本原则</w:t>
          </w:r>
          <w:r>
            <w:rPr>
              <w:rFonts w:hint="eastAsia" w:ascii="仿宋_GB2312" w:hAnsi="仿宋_GB2312" w:eastAsia="仿宋_GB2312" w:cs="仿宋_GB2312"/>
              <w:b w:val="0"/>
              <w:bCs w:val="0"/>
              <w:caps/>
              <w:smallCaps w:val="0"/>
              <w:kern w:val="2"/>
              <w:sz w:val="32"/>
              <w:szCs w:val="32"/>
              <w:lang w:val="en-US" w:eastAsia="zh-CN" w:bidi="ar-SA"/>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_Toc75191017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10</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caps/>
              <w:smallCaps w:val="0"/>
              <w:kern w:val="2"/>
              <w:sz w:val="32"/>
              <w:szCs w:val="32"/>
              <w:lang w:val="en-US" w:eastAsia="zh-CN" w:bidi="ar-SA"/>
            </w:rPr>
            <w:fldChar w:fldCharType="end"/>
          </w:r>
        </w:p>
        <w:p>
          <w:pPr>
            <w:pStyle w:val="21"/>
            <w:rPr>
              <w:rFonts w:ascii="仿宋_GB2312" w:eastAsia="仿宋_GB2312" w:hAnsiTheme="minorHAnsi" w:cstheme="minorBidi"/>
              <w:caps w:val="0"/>
              <w:kern w:val="0"/>
              <w:sz w:val="22"/>
              <w:szCs w:val="22"/>
              <w:lang w:val="en-GB"/>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"_Toc75191018" </w:instrText>
          </w:r>
          <w:r>
            <w:rPr>
              <w:rFonts w:hint="eastAsia" w:ascii="黑体" w:hAnsi="黑体" w:eastAsia="黑体" w:cs="黑体"/>
              <w:b w:val="0"/>
              <w:bCs w:val="0"/>
            </w:rPr>
            <w:fldChar w:fldCharType="separate"/>
          </w:r>
          <w:r>
            <w:rPr>
              <w:rStyle w:val="38"/>
              <w:rFonts w:hint="eastAsia" w:ascii="黑体" w:hAnsi="黑体" w:eastAsia="黑体" w:cs="黑体"/>
              <w:b w:val="0"/>
              <w:bCs w:val="0"/>
            </w:rPr>
            <w:t>四、发展目标</w:t>
          </w:r>
          <w:r>
            <w:rPr>
              <w:rFonts w:hint="eastAsia" w:ascii="黑体" w:hAnsi="黑体" w:eastAsia="黑体" w:cs="黑体"/>
              <w:b w:val="0"/>
              <w:bCs w:val="0"/>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_Toc75191018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"_Toc75191019"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（一）招商引资质量明显提高</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_Toc75191019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11</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"_Toc75191020"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（二）重点产业招商取得突破</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_Toc75191020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12</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sz w:val="32"/>
              <w:szCs w:val="32"/>
            </w:rPr>
            <w:fldChar w:fldCharType="end"/>
          </w:r>
        </w:p>
        <w:p>
          <w:pPr>
            <w:pStyle w:val="27"/>
            <w:rPr>
              <w:rFonts w:ascii="仿宋_GB2312" w:hAnsiTheme="minorHAnsi" w:cstheme="minorBidi"/>
              <w:b/>
              <w:bCs/>
              <w:smallCaps w:val="0"/>
              <w:kern w:val="0"/>
              <w:sz w:val="22"/>
              <w:szCs w:val="2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"_Toc75191021"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（三）区域发展格局总体优化</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_Toc75191021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12</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sz w:val="32"/>
              <w:szCs w:val="32"/>
            </w:rPr>
            <w:fldChar w:fldCharType="end"/>
          </w:r>
        </w:p>
        <w:p>
          <w:pPr>
            <w:pStyle w:val="21"/>
            <w:rPr>
              <w:rFonts w:ascii="仿宋_GB2312" w:eastAsia="仿宋_GB2312" w:hAnsiTheme="minorHAnsi" w:cstheme="minorBidi"/>
              <w:caps w:val="0"/>
              <w:kern w:val="0"/>
              <w:sz w:val="22"/>
              <w:szCs w:val="22"/>
              <w:lang w:val="en-GB"/>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"_Toc75191022" </w:instrText>
          </w:r>
          <w:r>
            <w:rPr>
              <w:rFonts w:hint="eastAsia" w:ascii="黑体" w:hAnsi="黑体" w:eastAsia="黑体" w:cs="黑体"/>
              <w:b w:val="0"/>
              <w:bCs w:val="0"/>
            </w:rPr>
            <w:fldChar w:fldCharType="separate"/>
          </w:r>
          <w:r>
            <w:rPr>
              <w:rStyle w:val="38"/>
              <w:rFonts w:hint="eastAsia" w:ascii="黑体" w:hAnsi="黑体" w:eastAsia="黑体" w:cs="黑体"/>
              <w:b w:val="0"/>
              <w:bCs w:val="0"/>
            </w:rPr>
            <w:t>五、重点任务和具体举措</w:t>
          </w:r>
          <w:r>
            <w:rPr>
              <w:rFonts w:hint="eastAsia" w:ascii="黑体" w:hAnsi="黑体" w:eastAsia="黑体" w:cs="黑体"/>
              <w:b w:val="0"/>
              <w:bCs w:val="0"/>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_Toc75191022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"_Toc75191023"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（一）实现旅文产业跨越式升级</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_Toc75191023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"_Toc75191024"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（二）推进自贸港特色现代服务业体系建设</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_Toc75191024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"_Toc75191025"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（三）优化高新技术产业战略性布局</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_Toc75191025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37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"_Toc75191026"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（四）推动热带特色高效农业高效化转型</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_Toc75191026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"_Toc75191027"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（五）深化自贸港对内对外合作</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_Toc75191027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50</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"_Toc75191028"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（六）完善市、区两级联动的立体化工作机制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7"/>
            <w:rPr>
              <w:rFonts w:ascii="仿宋_GB2312" w:hAnsiTheme="minorHAnsi" w:cstheme="minorBidi"/>
              <w:b/>
              <w:bCs/>
              <w:smallCaps w:val="0"/>
              <w:kern w:val="0"/>
              <w:sz w:val="22"/>
              <w:szCs w:val="2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"_Toc75191029"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（七）探索多元化、市场化、差异化招商路径</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_Toc75191029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1"/>
            <w:rPr>
              <w:rFonts w:hint="eastAsia" w:ascii="黑体" w:hAnsi="黑体" w:eastAsia="黑体" w:cs="黑体"/>
              <w:b w:val="0"/>
              <w:bCs w:val="0"/>
              <w:caps w:val="0"/>
              <w:kern w:val="0"/>
              <w:sz w:val="32"/>
              <w:szCs w:val="32"/>
              <w:lang w:val="en-GB"/>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"_Toc75191030" </w:instrText>
          </w:r>
          <w:r>
            <w:rPr>
              <w:rFonts w:hint="eastAsia" w:ascii="黑体" w:hAnsi="黑体" w:eastAsia="黑体" w:cs="黑体"/>
              <w:b w:val="0"/>
              <w:bCs w:val="0"/>
              <w:sz w:val="32"/>
              <w:szCs w:val="32"/>
            </w:rPr>
            <w:fldChar w:fldCharType="separate"/>
          </w:r>
          <w:r>
            <w:rPr>
              <w:rStyle w:val="38"/>
              <w:rFonts w:hint="eastAsia" w:ascii="黑体" w:hAnsi="黑体" w:eastAsia="黑体" w:cs="黑体"/>
              <w:b w:val="0"/>
              <w:bCs w:val="0"/>
              <w:sz w:val="32"/>
              <w:szCs w:val="32"/>
            </w:rPr>
            <w:t>六、保障措施</w:t>
          </w:r>
          <w:r>
            <w:rPr>
              <w:rFonts w:hint="eastAsia" w:ascii="黑体" w:hAnsi="黑体" w:eastAsia="黑体" w:cs="黑体"/>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_Toc75191030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62</w:t>
          </w:r>
          <w:r>
            <w:rPr>
              <w:rFonts w:hint="eastAsia" w:ascii="仿宋_GB2312" w:hAnsi="仿宋_GB2312" w:eastAsia="仿宋_GB2312" w:cs="仿宋_GB2312"/>
              <w:b w:val="0"/>
              <w:bCs w:val="0"/>
              <w:sz w:val="32"/>
              <w:szCs w:val="32"/>
            </w:rPr>
            <w:fldChar w:fldCharType="end"/>
          </w:r>
          <w:r>
            <w:rPr>
              <w:rFonts w:hint="eastAsia" w:ascii="黑体" w:hAnsi="黑体" w:eastAsia="黑体" w:cs="黑体"/>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"_Toc75191031"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（一）保障政策落实，打造政策体系支撑</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_Toc75191031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62</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"_Toc75191032"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（二）构建产业招商保障体系，强化财政资金支持</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_Toc75191032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62</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smallCaps w:val="0"/>
              <w:kern w:val="0"/>
              <w:sz w:val="32"/>
              <w:szCs w:val="3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"_Toc75191033"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（三）建设一流营商环境，服务企业经营全生命周期</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_Toc75191033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63</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sz w:val="32"/>
              <w:szCs w:val="32"/>
            </w:rPr>
            <w:fldChar w:fldCharType="end"/>
          </w:r>
        </w:p>
        <w:p>
          <w:pPr>
            <w:pStyle w:val="27"/>
            <w:rPr>
              <w:rFonts w:hint="eastAsia" w:ascii="仿宋_GB2312" w:hAnsi="仿宋_GB2312" w:eastAsia="仿宋_GB2312" w:cs="仿宋_GB2312"/>
              <w:b w:val="0"/>
              <w:bCs w:val="0"/>
              <w:caps/>
              <w:smallCaps w:val="0"/>
              <w:kern w:val="2"/>
              <w:sz w:val="32"/>
              <w:szCs w:val="32"/>
              <w:lang w:val="en-GB" w:eastAsia="zh-CN" w:bidi="ar-SA"/>
            </w:rPr>
          </w:pP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HYPERLINK \l "_Toc75191034"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（四）科学制定招商工作督导考核体系</w:t>
          </w:r>
          <w:r>
            <w:rPr>
              <w:rFonts w:hint="eastAsia" w:ascii="仿宋_GB2312" w:hAnsi="仿宋_GB2312" w:eastAsia="仿宋_GB2312" w:cs="仿宋_GB2312"/>
              <w:b w:val="0"/>
              <w:bCs w:val="0"/>
              <w:caps/>
              <w:smallCaps w:val="0"/>
              <w:kern w:val="2"/>
              <w:sz w:val="32"/>
              <w:szCs w:val="32"/>
              <w:lang w:val="en-US" w:eastAsia="zh-CN" w:bidi="ar-SA"/>
            </w:rPr>
            <w:tab/>
          </w:r>
          <w:r>
            <w:rPr>
              <w:rFonts w:hint="eastAsia" w:ascii="仿宋_GB2312" w:hAnsi="仿宋_GB2312" w:eastAsia="仿宋_GB2312" w:cs="仿宋_GB2312"/>
              <w:b w:val="0"/>
              <w:bCs w:val="0"/>
              <w:caps/>
              <w:smallCaps w:val="0"/>
              <w:kern w:val="2"/>
              <w:sz w:val="32"/>
              <w:szCs w:val="32"/>
              <w:lang w:val="en-US" w:eastAsia="zh-CN" w:bidi="ar-SA"/>
            </w:rPr>
            <w:fldChar w:fldCharType="begin"/>
          </w:r>
          <w:r>
            <w:rPr>
              <w:rFonts w:hint="eastAsia" w:ascii="仿宋_GB2312" w:hAnsi="仿宋_GB2312" w:eastAsia="仿宋_GB2312" w:cs="仿宋_GB2312"/>
              <w:b w:val="0"/>
              <w:bCs w:val="0"/>
              <w:caps/>
              <w:smallCaps w:val="0"/>
              <w:kern w:val="2"/>
              <w:sz w:val="32"/>
              <w:szCs w:val="32"/>
              <w:lang w:val="en-US" w:eastAsia="zh-CN" w:bidi="ar-SA"/>
            </w:rPr>
            <w:instrText xml:space="preserve"> PAGEREF _Toc75191034 \h </w:instrText>
          </w:r>
          <w:r>
            <w:rPr>
              <w:rFonts w:hint="eastAsia" w:ascii="仿宋_GB2312" w:hAnsi="仿宋_GB2312" w:eastAsia="仿宋_GB2312" w:cs="仿宋_GB2312"/>
              <w:b w:val="0"/>
              <w:bCs w:val="0"/>
              <w:caps/>
              <w:smallCaps w:val="0"/>
              <w:kern w:val="2"/>
              <w:sz w:val="32"/>
              <w:szCs w:val="32"/>
              <w:lang w:val="en-US" w:eastAsia="zh-CN" w:bidi="ar-SA"/>
            </w:rPr>
            <w:fldChar w:fldCharType="separate"/>
          </w:r>
          <w:r>
            <w:rPr>
              <w:rFonts w:hint="eastAsia" w:ascii="仿宋_GB2312" w:hAnsi="仿宋_GB2312" w:eastAsia="仿宋_GB2312" w:cs="仿宋_GB2312"/>
              <w:b w:val="0"/>
              <w:bCs w:val="0"/>
              <w:caps/>
              <w:smallCaps w:val="0"/>
              <w:kern w:val="2"/>
              <w:sz w:val="32"/>
              <w:szCs w:val="32"/>
              <w:lang w:val="en-US" w:eastAsia="zh-CN" w:bidi="ar-SA"/>
            </w:rPr>
            <w:t>63</w:t>
          </w:r>
          <w:r>
            <w:rPr>
              <w:rFonts w:hint="eastAsia" w:ascii="仿宋_GB2312" w:hAnsi="仿宋_GB2312" w:eastAsia="仿宋_GB2312" w:cs="仿宋_GB2312"/>
              <w:b w:val="0"/>
              <w:bCs w:val="0"/>
              <w:caps/>
              <w:smallCaps w:val="0"/>
              <w:kern w:val="2"/>
              <w:sz w:val="32"/>
              <w:szCs w:val="32"/>
              <w:lang w:val="en-US" w:eastAsia="zh-CN" w:bidi="ar-SA"/>
            </w:rPr>
            <w:fldChar w:fldCharType="end"/>
          </w:r>
          <w:r>
            <w:rPr>
              <w:rFonts w:hint="eastAsia" w:ascii="仿宋_GB2312" w:hAnsi="仿宋_GB2312" w:eastAsia="仿宋_GB2312" w:cs="仿宋_GB2312"/>
              <w:b w:val="0"/>
              <w:bCs w:val="0"/>
              <w:caps/>
              <w:smallCaps w:val="0"/>
              <w:kern w:val="2"/>
              <w:sz w:val="32"/>
              <w:szCs w:val="32"/>
              <w:lang w:val="en-US" w:eastAsia="zh-CN" w:bidi="ar-SA"/>
            </w:rPr>
            <w:fldChar w:fldCharType="end"/>
          </w:r>
        </w:p>
        <w:p>
          <w:pPr>
            <w:pStyle w:val="27"/>
            <w:rPr>
              <w:rFonts w:ascii="仿宋_GB2312" w:hAnsiTheme="minorHAnsi" w:cstheme="minorBidi"/>
              <w:b/>
              <w:bCs/>
              <w:smallCaps w:val="0"/>
              <w:kern w:val="0"/>
              <w:sz w:val="22"/>
              <w:szCs w:val="22"/>
              <w:lang w:val="en-GB"/>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"_Toc75191035" </w:instrText>
          </w:r>
          <w:r>
            <w:rPr>
              <w:rFonts w:hint="eastAsia" w:ascii="仿宋_GB2312" w:hAnsi="仿宋_GB2312" w:eastAsia="仿宋_GB2312" w:cs="仿宋_GB2312"/>
              <w:b w:val="0"/>
              <w:bCs w:val="0"/>
              <w:sz w:val="32"/>
              <w:szCs w:val="32"/>
            </w:rPr>
            <w:fldChar w:fldCharType="separate"/>
          </w:r>
          <w:r>
            <w:rPr>
              <w:rStyle w:val="38"/>
              <w:rFonts w:hint="eastAsia" w:ascii="仿宋_GB2312" w:hAnsi="仿宋_GB2312" w:eastAsia="仿宋_GB2312" w:cs="仿宋_GB2312"/>
              <w:b w:val="0"/>
              <w:bCs w:val="0"/>
              <w:sz w:val="32"/>
              <w:szCs w:val="32"/>
            </w:rPr>
            <w:t>（五）开展精准招商全媒介宣传</w:t>
          </w:r>
          <w:r>
            <w:rPr>
              <w:rFonts w:hint="eastAsia" w:ascii="仿宋_GB2312" w:hAnsi="仿宋_GB2312" w:eastAsia="仿宋_GB2312" w:cs="仿宋_GB2312"/>
              <w:b w:val="0"/>
              <w:bCs w:val="0"/>
              <w:caps/>
              <w:smallCaps w:val="0"/>
              <w:kern w:val="2"/>
              <w:sz w:val="32"/>
              <w:szCs w:val="32"/>
              <w:lang w:val="en-US" w:eastAsia="zh-CN" w:bidi="ar-SA"/>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_Toc75191035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caps/>
              <w:smallCaps w:val="0"/>
              <w:kern w:val="2"/>
              <w:sz w:val="32"/>
              <w:szCs w:val="32"/>
              <w:lang w:val="en-US" w:eastAsia="zh-CN" w:bidi="ar-SA"/>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21"/>
            <w:rPr>
              <w:rFonts w:ascii="仿宋_GB2312" w:hAnsi="楷体" w:eastAsia="仿宋_GB2312"/>
              <w:szCs w:val="32"/>
            </w:rPr>
          </w:pPr>
          <w:r>
            <w:rPr>
              <w:rFonts w:hint="eastAsia" w:ascii="仿宋_GB2312" w:hAnsi="楷体" w:eastAsia="仿宋_GB2312"/>
              <w:szCs w:val="32"/>
            </w:rPr>
            <w:fldChar w:fldCharType="end"/>
          </w:r>
        </w:p>
      </w:sdtContent>
    </w:sdt>
    <w:p>
      <w:pPr>
        <w:widowControl w:val="0"/>
        <w:tabs>
          <w:tab w:val="right" w:leader="dot" w:pos="8834"/>
        </w:tabs>
        <w:adjustRightInd/>
        <w:snapToGrid/>
        <w:spacing w:after="0" w:line="600" w:lineRule="exact"/>
        <w:ind w:firstLine="0" w:firstLineChars="0"/>
        <w:jc w:val="center"/>
        <w:outlineLvl w:val="0"/>
        <w:rPr>
          <w:rFonts w:hint="eastAsia" w:ascii="仿宋_GB2312" w:hAnsi="仿宋_GB2312" w:eastAsia="仿宋_GB2312" w:cs="仿宋_GB2312"/>
          <w:b w:val="0"/>
          <w:bCs w:val="0"/>
          <w:caps/>
          <w:kern w:val="2"/>
          <w:sz w:val="32"/>
          <w:szCs w:val="32"/>
          <w:lang w:val="en-US" w:eastAsia="zh-CN" w:bidi="ar-SA"/>
        </w:rPr>
        <w:sectPr>
          <w:footerReference r:id="rId7" w:type="default"/>
          <w:pgSz w:w="11900" w:h="16840"/>
          <w:pgMar w:top="1928" w:right="1531" w:bottom="1701" w:left="1531" w:header="567" w:footer="567" w:gutter="0"/>
          <w:pgNumType w:fmt="decimal" w:start="1"/>
          <w:cols w:space="0" w:num="1"/>
          <w:rtlGutter w:val="0"/>
          <w:docGrid w:type="lines" w:linePitch="604" w:charSpace="0"/>
        </w:sectPr>
      </w:pPr>
      <w:bookmarkStart w:id="3" w:name="_Toc59385408"/>
      <w:bookmarkStart w:id="4" w:name="_Toc75191012"/>
    </w:p>
    <w:p>
      <w:pPr>
        <w:widowControl w:val="0"/>
        <w:tabs>
          <w:tab w:val="right" w:leader="dot" w:pos="8834"/>
        </w:tabs>
        <w:adjustRightInd/>
        <w:snapToGrid/>
        <w:spacing w:after="0" w:line="600" w:lineRule="exact"/>
        <w:ind w:firstLine="0" w:firstLineChars="0"/>
        <w:jc w:val="center"/>
        <w:outlineLvl w:val="0"/>
        <w:rPr>
          <w:rFonts w:hint="eastAsia" w:ascii="Times New Roman" w:hAnsi="Times New Roman" w:eastAsia="方正小标宋简体"/>
          <w:bCs/>
          <w:color w:val="000000"/>
          <w:kern w:val="44"/>
          <w:sz w:val="44"/>
          <w:szCs w:val="44"/>
        </w:rPr>
      </w:pPr>
      <w:r>
        <w:rPr>
          <w:rFonts w:hint="eastAsia" w:ascii="Times New Roman" w:hAnsi="Times New Roman" w:eastAsia="方正小标宋简体"/>
          <w:bCs/>
          <w:color w:val="000000"/>
          <w:kern w:val="44"/>
          <w:sz w:val="44"/>
          <w:szCs w:val="44"/>
        </w:rPr>
        <w:t>前</w:t>
      </w:r>
      <w:r>
        <w:rPr>
          <w:rFonts w:hint="eastAsia" w:eastAsia="方正小标宋简体"/>
          <w:bCs/>
          <w:color w:val="000000"/>
          <w:kern w:val="44"/>
          <w:sz w:val="44"/>
          <w:szCs w:val="44"/>
          <w:lang w:val="en-US" w:eastAsia="zh-CN"/>
        </w:rPr>
        <w:t xml:space="preserve">  </w:t>
      </w:r>
      <w:r>
        <w:rPr>
          <w:rFonts w:hint="eastAsia" w:ascii="Times New Roman" w:hAnsi="Times New Roman" w:eastAsia="方正小标宋简体"/>
          <w:bCs/>
          <w:color w:val="000000"/>
          <w:kern w:val="44"/>
          <w:sz w:val="44"/>
          <w:szCs w:val="44"/>
        </w:rPr>
        <w:t>言</w:t>
      </w:r>
      <w:bookmarkEnd w:id="3"/>
      <w:bookmarkEnd w:id="4"/>
    </w:p>
    <w:p>
      <w:pPr>
        <w:pStyle w:val="2"/>
      </w:pPr>
    </w:p>
    <w:p>
      <w:pPr>
        <w:pStyle w:val="79"/>
        <w:ind w:firstLine="640"/>
        <w:rPr>
          <w:szCs w:val="32"/>
        </w:rPr>
      </w:pPr>
      <w:r>
        <w:rPr>
          <w:rFonts w:hint="eastAsia"/>
          <w:szCs w:val="32"/>
        </w:rPr>
        <w:t>“十四五”时期是我国开启全面建设社会主义现代化国家的关键时期，是我国迈向第二个百年奋斗目标的第一个五年，也是海南建设自由贸易港重大战略的起步期。</w:t>
      </w:r>
    </w:p>
    <w:p>
      <w:pPr>
        <w:pStyle w:val="79"/>
        <w:ind w:firstLine="640"/>
        <w:rPr>
          <w:szCs w:val="32"/>
        </w:rPr>
      </w:pPr>
      <w:r>
        <w:rPr>
          <w:rFonts w:hint="eastAsia"/>
          <w:szCs w:val="32"/>
        </w:rPr>
        <w:t>招商引资作为推动海南自贸港建设进程的重要举措，是打造自贸港高水平开放平台的主要路径，也是三亚实现产业结构转型和经济健康发展的有效手段。加速推进三亚市招商引资工作对于全市乃至整个自贸港的经济格局升级具有举足轻重的意义。</w:t>
      </w:r>
    </w:p>
    <w:p>
      <w:pPr>
        <w:pStyle w:val="79"/>
        <w:ind w:firstLine="640"/>
      </w:pPr>
      <w:r>
        <w:rPr>
          <w:rFonts w:hint="eastAsia"/>
        </w:rPr>
        <w:t>为认真贯彻落实中共中央对海南自贸港的战略计划，助力海南建设面向太平洋和印度洋的重要对外开放门户、打造面向全球的国际服务贸易中心和21世纪海上丝绸之路的重要战略支点、推动海南与“一带一路”沿线国家和地区开展更加务实高效的合作，根据《中共海南省委关于制定国民经济和社会发展第十四个五年规划和二</w:t>
      </w:r>
      <w:r>
        <w:rPr>
          <w:rFonts w:hint="eastAsia" w:ascii="微软雅黑" w:hAnsi="微软雅黑" w:eastAsia="微软雅黑" w:cs="微软雅黑"/>
        </w:rPr>
        <w:t>〇</w:t>
      </w:r>
      <w:r>
        <w:rPr>
          <w:rFonts w:hint="eastAsia"/>
        </w:rPr>
        <w:t>三五年远景目标的建议》和《三亚市国民经济和社会发展第十四个五年规划纲要》等文件，结合中央商务区、崖州湾科技城等重点园区发展规划及各政府主管单位工作计划，制定《三亚市招商引资“十四五”发展规划》，规划实施期为2021年至2025年。</w:t>
      </w:r>
    </w:p>
    <w:bookmarkEnd w:id="0"/>
    <w:p>
      <w:pPr>
        <w:pStyle w:val="101"/>
        <w:ind w:firstLine="640"/>
      </w:pPr>
      <w:bookmarkStart w:id="5" w:name="_Toc75191013"/>
      <w:bookmarkStart w:id="6" w:name="_Toc455379852"/>
      <w:bookmarkStart w:id="7" w:name="_Toc325266429"/>
      <w:r>
        <w:rPr>
          <w:rFonts w:hint="eastAsia"/>
        </w:rPr>
        <w:t>一、“十三五”招商引资工作回顾</w:t>
      </w:r>
      <w:bookmarkEnd w:id="5"/>
      <w:bookmarkEnd w:id="6"/>
      <w:bookmarkEnd w:id="7"/>
      <w:bookmarkStart w:id="8" w:name="_Toc321438103"/>
    </w:p>
    <w:bookmarkEnd w:id="8"/>
    <w:p>
      <w:pPr>
        <w:pStyle w:val="79"/>
        <w:ind w:firstLine="640"/>
      </w:pPr>
      <w:bookmarkStart w:id="9" w:name="_Toc321438130"/>
      <w:bookmarkStart w:id="10" w:name="_Toc321438107"/>
      <w:r>
        <w:rPr>
          <w:rFonts w:hint="eastAsia"/>
        </w:rPr>
        <w:t>“十三五”期间，三亚市坚持创新发展理念，推动高质量开放发展，实施精准招商，狠抓项目落地，经受住了最严房地产调控的考验和新冠肺炎疫情的巨大冲击，招商引资额始终保持中高速增长。</w:t>
      </w:r>
    </w:p>
    <w:p>
      <w:pPr>
        <w:pStyle w:val="79"/>
        <w:ind w:firstLine="640"/>
      </w:pPr>
      <w:r>
        <w:rPr>
          <w:rFonts w:hint="eastAsia"/>
        </w:rPr>
        <w:t>1.优势行业持续发力,外资利用继续扩大</w:t>
      </w:r>
    </w:p>
    <w:p>
      <w:pPr>
        <w:pStyle w:val="79"/>
        <w:ind w:firstLine="640"/>
      </w:pPr>
      <w:r>
        <w:rPr>
          <w:rFonts w:hint="eastAsia"/>
        </w:rPr>
        <w:t>“十三五”期间，全市生产总值、人均生产总值和地方一般公共预算收入分别以年均7.2%、6%、10%的速度快速增长，至2019年分别提升至677.86亿元、8.7万元/人和109.1亿元。2</w:t>
      </w:r>
      <w:r>
        <w:t>018</w:t>
      </w:r>
      <w:r>
        <w:rPr>
          <w:rFonts w:hint="eastAsia"/>
        </w:rPr>
        <w:t>年三亚市地方一般公共预算收入首次突破百亿元大关。旅游业方面，过夜接待游客量2015至2019年均增长12.42%，境外通航城市达到46个，旅游总收入年均增长达20.05%。十三五末，三亚市金融业增加值6</w:t>
      </w:r>
      <w:r>
        <w:t>0.83</w:t>
      </w:r>
      <w:r>
        <w:rPr>
          <w:rFonts w:hint="eastAsia"/>
        </w:rPr>
        <w:t>亿元，占全市G</w:t>
      </w:r>
      <w:r>
        <w:t>DP</w:t>
      </w:r>
      <w:r>
        <w:rPr>
          <w:rFonts w:hint="eastAsia"/>
        </w:rPr>
        <w:t>的8</w:t>
      </w:r>
      <w:r>
        <w:t>.75</w:t>
      </w:r>
      <w:r>
        <w:rPr>
          <w:rFonts w:hint="eastAsia"/>
        </w:rPr>
        <w:t>%。中国（三亚）国际大健康与美容产业博览会成为全省首个通过UFI认证的品牌博览会，会展业规模持续壮大。2020年三亚吸引了来自新加坡、美国、英国、日本等29个国家和地区的投资，实际使用外资同比增长18%，外商投资领域逐步扩展至总部经济、商务服务、文体娱乐、国际清算、智慧物流、国际艺术品交易等具有自贸港“显示度”的行业领域。企业层面，三亚市已与托马斯库克、伊诺华、太平保险、世邦魏理仕等多家企业签订了战略合作协议，已成功引入三亚索斯福股权投资有限公司在三亚互联网信息产业基地落地，成为海南省首家外商股权投资企业。</w:t>
      </w:r>
    </w:p>
    <w:p>
      <w:pPr>
        <w:pStyle w:val="79"/>
        <w:ind w:firstLine="640"/>
      </w:pPr>
      <w:r>
        <w:rPr>
          <w:rFonts w:hint="eastAsia"/>
        </w:rPr>
        <w:t>2.国企改革全面推进，重点园区稳步发展</w:t>
      </w:r>
    </w:p>
    <w:p>
      <w:pPr>
        <w:pStyle w:val="79"/>
        <w:ind w:firstLine="640"/>
      </w:pPr>
      <w:r>
        <w:rPr>
          <w:rFonts w:hint="eastAsia"/>
        </w:rPr>
        <w:t>“十三五”期间，三亚市高起点谋划高标准建设四大产业园区，加快自贸港新产业重要平台建设。围绕崖州湾科技城建设“一港、三城、一基地”</w:t>
      </w:r>
      <w:r>
        <w:rPr>
          <w:rFonts w:hint="eastAsia"/>
          <w:lang w:eastAsia="zh-CN"/>
        </w:rPr>
        <w:t>；</w:t>
      </w:r>
      <w:r>
        <w:rPr>
          <w:rFonts w:hint="eastAsia"/>
        </w:rPr>
        <w:t>围绕三亚中央商务区推动总部经济、金融服务和邮轮游艇三大新</w:t>
      </w:r>
      <w:r>
        <w:rPr>
          <w:rFonts w:hint="eastAsia"/>
          <w:lang w:val="en-US" w:eastAsia="zh-CN"/>
        </w:rPr>
        <w:t>兴</w:t>
      </w:r>
      <w:r>
        <w:rPr>
          <w:rFonts w:hint="eastAsia"/>
        </w:rPr>
        <w:t>产业发展</w:t>
      </w:r>
      <w:r>
        <w:rPr>
          <w:rFonts w:hint="eastAsia"/>
          <w:lang w:eastAsia="zh-CN"/>
        </w:rPr>
        <w:t>；</w:t>
      </w:r>
      <w:r>
        <w:rPr>
          <w:rFonts w:hint="eastAsia"/>
        </w:rPr>
        <w:t>围绕三亚海棠湾国家海岸休闲园区打造集大旅游、医疗康养、免税购物等多产业融合发展的现代服务业产业聚集区</w:t>
      </w:r>
      <w:r>
        <w:rPr>
          <w:rFonts w:hint="eastAsia"/>
          <w:lang w:eastAsia="zh-CN"/>
        </w:rPr>
        <w:t>；</w:t>
      </w:r>
      <w:r>
        <w:rPr>
          <w:rFonts w:hint="eastAsia"/>
        </w:rPr>
        <w:t>围绕互联网信息产业园，专注发展大数据、人工智能、物联网等新兴技术在智慧城市、智慧海洋、智慧旅游等领域的应用。</w:t>
      </w:r>
    </w:p>
    <w:p>
      <w:pPr>
        <w:pStyle w:val="79"/>
        <w:ind w:firstLine="640"/>
      </w:pPr>
      <w:r>
        <w:rPr>
          <w:rFonts w:hint="eastAsia"/>
        </w:rPr>
        <w:t>2019年，三亚全面启动国资国企改革，构建9大集团引领发展的新格局</w:t>
      </w:r>
      <w:r>
        <w:rPr>
          <w:rFonts w:hint="eastAsia"/>
          <w:lang w:eastAsia="zh-CN"/>
        </w:rPr>
        <w:t>。</w:t>
      </w:r>
      <w:r>
        <w:rPr>
          <w:rFonts w:hint="eastAsia"/>
        </w:rPr>
        <w:t>三亚发控、国资公司、城投集团、旅文集团、交投集团、农投集团、环投集团、科投集团将成为园区未来发展的重点抓手和核心力量。</w:t>
      </w:r>
    </w:p>
    <w:p>
      <w:pPr>
        <w:pStyle w:val="79"/>
        <w:ind w:firstLine="640"/>
      </w:pPr>
      <w:r>
        <w:rPr>
          <w:rFonts w:hint="eastAsia"/>
        </w:rPr>
        <w:t>3.企业服务持续跟进，营商环境显著优化</w:t>
      </w:r>
    </w:p>
    <w:p>
      <w:pPr>
        <w:pStyle w:val="79"/>
        <w:ind w:firstLine="640"/>
      </w:pPr>
      <w:r>
        <w:rPr>
          <w:rFonts w:hint="eastAsia"/>
        </w:rPr>
        <w:t>三亚市招商部门主动对接、全程服务，配合企业开展实地考察、落实办公用房、完成企业注册等工作，协调各部门提供政策支持和审批许可</w:t>
      </w:r>
      <w:r>
        <w:rPr>
          <w:rFonts w:hint="eastAsia"/>
          <w:lang w:val="en-US" w:eastAsia="zh-CN"/>
        </w:rPr>
        <w:t>的</w:t>
      </w:r>
      <w:r>
        <w:rPr>
          <w:rFonts w:hint="eastAsia"/>
        </w:rPr>
        <w:t xml:space="preserve">绿色通道，为企业提供“一站式”服务。探索建立“五个一”的项目落地工作机制，针对每一家招商签约企业启用一条绿色通道，开好一次交底会议，印发一份责任文件，组建一个工作团队，建立一套督查机制。探索实施投资项目“特别极简审批”和“不见面审批”，通过设立综合服务窗口，集中一窗受理、限时一章办结，落实减流程、减材料、减成本和加服务、加监管“三减两加”的新型招商审批政策。 </w:t>
      </w:r>
    </w:p>
    <w:p>
      <w:pPr>
        <w:pStyle w:val="79"/>
        <w:ind w:firstLine="640"/>
      </w:pPr>
      <w:r>
        <w:rPr>
          <w:rFonts w:hint="eastAsia"/>
        </w:rPr>
        <w:t>4.招商举措推陈出新，签约项目成绩喜人</w:t>
      </w:r>
    </w:p>
    <w:p>
      <w:pPr>
        <w:pStyle w:val="79"/>
        <w:ind w:firstLine="640"/>
      </w:pPr>
      <w:r>
        <w:rPr>
          <w:rFonts w:hint="eastAsia"/>
        </w:rPr>
        <w:t>三亚市成立招商引资工作领导小组，统筹全市招商引资工作。成立市投资促进中心作为市招商办的执行部门，进一步优化“招商部门+职能部门+园区（各区）”三位一体、全市一盘棋的招商引资合力机制。充分利用“海招网”信息平台宣传推广招商信息，通过组建“百人招商团”对接洽谈企业上千家，改变以往大规模推介、多头招商、集中签约的低效招商模式</w:t>
      </w:r>
      <w:r>
        <w:rPr>
          <w:rFonts w:hint="eastAsia"/>
          <w:lang w:eastAsia="zh-CN"/>
        </w:rPr>
        <w:t>。</w:t>
      </w:r>
      <w:r>
        <w:rPr>
          <w:rFonts w:hint="eastAsia"/>
        </w:rPr>
        <w:t>由市委、市政府主要领导亲自带队前往总部企业聚集的一线城市，瞄准世界500强、中国500强和行业领军企业，开展点对点精准招商</w:t>
      </w:r>
      <w:r>
        <w:rPr>
          <w:rFonts w:hint="eastAsia"/>
          <w:lang w:eastAsia="zh-CN"/>
        </w:rPr>
        <w:t>。</w:t>
      </w:r>
      <w:r>
        <w:rPr>
          <w:rFonts w:hint="eastAsia"/>
        </w:rPr>
        <w:t>成功引进中国大唐集团海外控股有限公司、海南复星旅游文化投资</w:t>
      </w:r>
      <w:r>
        <w:rPr>
          <w:rFonts w:hint="eastAsia"/>
          <w:lang w:val="en-US" w:eastAsia="zh-CN"/>
        </w:rPr>
        <w:t>有限</w:t>
      </w:r>
      <w:r>
        <w:rPr>
          <w:rFonts w:hint="eastAsia"/>
        </w:rPr>
        <w:t>公司、大悦城（三亚）投资有限公司、珠免集团（海南）有限公司等企业落地，其中世界500强企业达11家。</w:t>
      </w:r>
    </w:p>
    <w:p>
      <w:pPr>
        <w:pStyle w:val="101"/>
        <w:ind w:firstLine="640"/>
      </w:pPr>
      <w:bookmarkStart w:id="11" w:name="_Toc75191014"/>
      <w:r>
        <w:rPr>
          <w:rFonts w:hint="eastAsia"/>
        </w:rPr>
        <w:t>二、“十四五”招商引资面临形势</w:t>
      </w:r>
      <w:bookmarkEnd w:id="11"/>
    </w:p>
    <w:p>
      <w:pPr>
        <w:pStyle w:val="79"/>
        <w:ind w:firstLine="640"/>
      </w:pPr>
      <w:r>
        <w:rPr>
          <w:rFonts w:hint="eastAsia"/>
        </w:rPr>
        <w:t>“十四五”时期，我国正面临发展环境的深刻复杂的变化。如疫情对全球经济正产生持续影响，贸易摩擦和区域地缘政治竞争等带来的不确定性增多，国际市场瞬息万变，区域合作变革创新。我国始终坚持以开放促改革促发展，推动区域深度合作，着力构建国内国际双循环的新发展格局。</w:t>
      </w:r>
    </w:p>
    <w:p>
      <w:pPr>
        <w:pStyle w:val="79"/>
        <w:ind w:firstLine="640"/>
      </w:pPr>
      <w:r>
        <w:rPr>
          <w:rFonts w:hint="eastAsia"/>
        </w:rPr>
        <w:t>海南自贸港作为“双循环”重要交汇点，正被赋予开放创新的新使命和新机遇。充分发挥海南自然资源丰富、地理区位独特以及背靠超大规模国内市场和</w:t>
      </w:r>
      <w:r>
        <w:rPr>
          <w:rFonts w:hint="eastAsia"/>
          <w:lang w:val="en-US" w:eastAsia="zh-CN"/>
        </w:rPr>
        <w:t>经济</w:t>
      </w:r>
      <w:r>
        <w:rPr>
          <w:rFonts w:hint="eastAsia"/>
        </w:rPr>
        <w:t>腹地等优势，抢抓全球新一轮科技革命和产业变革</w:t>
      </w:r>
      <w:r>
        <w:rPr>
          <w:rFonts w:hint="eastAsia"/>
          <w:lang w:val="en-US" w:eastAsia="zh-CN"/>
        </w:rPr>
        <w:t>的</w:t>
      </w:r>
      <w:r>
        <w:rPr>
          <w:rFonts w:hint="eastAsia"/>
        </w:rPr>
        <w:t>重要机遇，聚焦发展旅游业、现代服务业和高新技术产业，加快培育具有海南特色的合作竞争新优势。</w:t>
      </w:r>
    </w:p>
    <w:p>
      <w:pPr>
        <w:pStyle w:val="79"/>
        <w:ind w:firstLine="640"/>
      </w:pPr>
      <w:r>
        <w:rPr>
          <w:rFonts w:hint="eastAsia"/>
        </w:rPr>
        <w:t>“十四五”期间，面对全市整体对外来资金吸引力不强、国际合作对接交流效果不充分等挑战，三亚应充分利用自贸港新政与区域性自贸协定的政策叠加优势，积极引进外商投资项目</w:t>
      </w:r>
      <w:r>
        <w:rPr>
          <w:rFonts w:hint="eastAsia"/>
          <w:lang w:eastAsia="zh-CN"/>
        </w:rPr>
        <w:t>、</w:t>
      </w:r>
      <w:r>
        <w:rPr>
          <w:rFonts w:hint="eastAsia"/>
        </w:rPr>
        <w:t>稳定外商投资预期、提振外商投资信心，实现三亚产业竞争力显著提升、进入创新型城市行列、打造海南经济高质量发展第二极的目标。</w:t>
      </w:r>
    </w:p>
    <w:bookmarkEnd w:id="9"/>
    <w:bookmarkEnd w:id="10"/>
    <w:p>
      <w:pPr>
        <w:pStyle w:val="101"/>
        <w:ind w:firstLine="640"/>
      </w:pPr>
      <w:bookmarkStart w:id="12" w:name="_Toc455379854"/>
      <w:bookmarkStart w:id="13" w:name="_Toc451435265"/>
      <w:bookmarkStart w:id="14" w:name="_Toc325266431"/>
      <w:bookmarkStart w:id="15" w:name="_Toc75191015"/>
      <w:r>
        <w:rPr>
          <w:rFonts w:hint="eastAsia"/>
        </w:rPr>
        <w:t>三、</w:t>
      </w:r>
      <w:bookmarkEnd w:id="12"/>
      <w:bookmarkEnd w:id="13"/>
      <w:bookmarkEnd w:id="14"/>
      <w:r>
        <w:rPr>
          <w:rFonts w:hint="eastAsia"/>
        </w:rPr>
        <w:t>指导思想和基本原则</w:t>
      </w:r>
      <w:bookmarkEnd w:id="15"/>
    </w:p>
    <w:p>
      <w:pPr>
        <w:pStyle w:val="102"/>
        <w:ind w:firstLine="643"/>
        <w:rPr>
          <w:rFonts w:hint="eastAsia" w:ascii="楷体_GB2312" w:hAnsi="楷体_GB2312" w:eastAsia="楷体_GB2312" w:cs="楷体_GB2312"/>
          <w:b w:val="0"/>
          <w:bCs/>
        </w:rPr>
      </w:pPr>
      <w:bookmarkStart w:id="16" w:name="_Toc325266432"/>
      <w:bookmarkStart w:id="17" w:name="_Toc455379855"/>
      <w:bookmarkStart w:id="18" w:name="_Toc321438131"/>
      <w:bookmarkStart w:id="19" w:name="_Toc451435266"/>
      <w:bookmarkStart w:id="20" w:name="_Toc281209842"/>
      <w:bookmarkStart w:id="21" w:name="_Toc75191016"/>
      <w:bookmarkStart w:id="22" w:name="_Toc274764633"/>
      <w:r>
        <w:rPr>
          <w:rFonts w:hint="eastAsia" w:ascii="楷体_GB2312" w:hAnsi="楷体_GB2312" w:eastAsia="楷体_GB2312" w:cs="楷体_GB2312"/>
          <w:b w:val="0"/>
          <w:bCs/>
        </w:rPr>
        <w:t>（一）</w:t>
      </w:r>
      <w:bookmarkEnd w:id="16"/>
      <w:bookmarkEnd w:id="17"/>
      <w:bookmarkEnd w:id="18"/>
      <w:bookmarkEnd w:id="19"/>
      <w:bookmarkEnd w:id="20"/>
      <w:r>
        <w:rPr>
          <w:rFonts w:hint="eastAsia" w:ascii="楷体_GB2312" w:hAnsi="楷体_GB2312" w:eastAsia="楷体_GB2312" w:cs="楷体_GB2312"/>
          <w:b w:val="0"/>
          <w:bCs/>
        </w:rPr>
        <w:t>指导思想</w:t>
      </w:r>
      <w:bookmarkEnd w:id="21"/>
    </w:p>
    <w:p>
      <w:pPr>
        <w:pStyle w:val="79"/>
        <w:ind w:firstLine="640"/>
        <w:rPr>
          <w:rFonts w:hAnsi="楷体"/>
          <w:szCs w:val="32"/>
        </w:rPr>
      </w:pPr>
      <w:bookmarkStart w:id="23" w:name="_Toc281209844"/>
      <w:bookmarkStart w:id="24" w:name="_Toc321438133"/>
      <w:r>
        <w:rPr>
          <w:rFonts w:hint="eastAsia" w:hAnsi="楷体"/>
          <w:szCs w:val="32"/>
        </w:rPr>
        <w:t>以习近平新时代中国特色社会主义思想为指导，深入贯彻落实</w:t>
      </w:r>
      <w:bookmarkStart w:id="69" w:name="_GoBack"/>
      <w:bookmarkEnd w:id="69"/>
      <w:r>
        <w:rPr>
          <w:rFonts w:hint="eastAsia" w:hAnsi="楷体"/>
          <w:szCs w:val="32"/>
        </w:rPr>
        <w:t>习近平总书记“4·13”重要讲话、对海南工作的重要指示批示、中央12号文件精神和《海南自由贸易港建设总体方案》。围绕“三区一中心”的战略定位，聚焦旅游业、现代服务业、高新技术产业三大主导产业和热带</w:t>
      </w:r>
      <w:r>
        <w:rPr>
          <w:rFonts w:hint="eastAsia" w:hAnsi="楷体"/>
          <w:szCs w:val="32"/>
          <w:lang w:val="en-US" w:eastAsia="zh-CN"/>
        </w:rPr>
        <w:t>特色</w:t>
      </w:r>
      <w:r>
        <w:rPr>
          <w:rFonts w:hint="eastAsia" w:hAnsi="楷体"/>
          <w:szCs w:val="32"/>
        </w:rPr>
        <w:t>高效农业一大特色产业方向，持续坚持推进产业招商工作与国际合作发展，充分发挥招商工作对国民经济发展、全市经济转型以及重点产业发展的推动作用。</w:t>
      </w:r>
    </w:p>
    <w:p>
      <w:pPr>
        <w:pStyle w:val="79"/>
        <w:ind w:firstLine="640"/>
        <w:rPr>
          <w:rFonts w:hAnsi="楷体"/>
          <w:szCs w:val="32"/>
        </w:rPr>
      </w:pPr>
      <w:r>
        <w:rPr>
          <w:rFonts w:hint="eastAsia" w:hAnsi="楷体"/>
          <w:szCs w:val="32"/>
        </w:rPr>
        <w:t>招商引资是自贸港建设的“最后一公里”，是自贸港成果的最终体现，也是对自贸港政策和制度创新成效的权威检验。要充分认识招商引资的重要性，增强责任感和使命感，扎实做好招商引资工作，将自贸港政策优势切实转化为发展优势。</w:t>
      </w:r>
    </w:p>
    <w:p>
      <w:pPr>
        <w:pStyle w:val="102"/>
        <w:ind w:firstLine="643"/>
        <w:rPr>
          <w:rFonts w:hint="eastAsia" w:ascii="楷体_GB2312" w:hAnsi="楷体_GB2312" w:eastAsia="楷体_GB2312" w:cs="楷体_GB2312"/>
          <w:b w:val="0"/>
          <w:bCs/>
        </w:rPr>
      </w:pPr>
      <w:bookmarkStart w:id="25" w:name="_Toc75191017"/>
      <w:r>
        <w:rPr>
          <w:rFonts w:hint="eastAsia" w:ascii="楷体_GB2312" w:hAnsi="楷体_GB2312" w:eastAsia="楷体_GB2312" w:cs="楷体_GB2312"/>
          <w:b w:val="0"/>
          <w:bCs/>
        </w:rPr>
        <w:t>（二）基本原则</w:t>
      </w:r>
      <w:bookmarkEnd w:id="25"/>
    </w:p>
    <w:p>
      <w:pPr>
        <w:pStyle w:val="104"/>
        <w:ind w:firstLine="643"/>
        <w:rPr>
          <w:b w:val="0"/>
          <w:bCs/>
        </w:rPr>
      </w:pPr>
      <w:bookmarkStart w:id="26" w:name="_Toc69925810"/>
      <w:r>
        <w:rPr>
          <w:rFonts w:hint="eastAsia"/>
          <w:b w:val="0"/>
          <w:bCs/>
        </w:rPr>
        <w:t>1.坚持重点突破原则</w:t>
      </w:r>
      <w:bookmarkEnd w:id="26"/>
    </w:p>
    <w:p>
      <w:pPr>
        <w:pStyle w:val="79"/>
        <w:ind w:firstLine="640"/>
        <w:rPr>
          <w:rFonts w:hAnsi="楷体"/>
          <w:szCs w:val="32"/>
        </w:rPr>
      </w:pPr>
      <w:r>
        <w:rPr>
          <w:rFonts w:hint="eastAsia" w:hAnsi="楷体"/>
          <w:szCs w:val="32"/>
        </w:rPr>
        <w:t>基于三亚自然资源及政策优势，有取有舍，集中力量针对重点产业中发展基础条件较好、技术条件成熟、成长潜力大、业务关联度高的龙头企业进行招商。</w:t>
      </w:r>
    </w:p>
    <w:p>
      <w:pPr>
        <w:pStyle w:val="79"/>
        <w:ind w:firstLine="640"/>
        <w:rPr>
          <w:rFonts w:hAnsi="楷体"/>
          <w:szCs w:val="32"/>
        </w:rPr>
      </w:pPr>
      <w:r>
        <w:rPr>
          <w:rFonts w:hint="eastAsia" w:hAnsi="楷体"/>
          <w:szCs w:val="32"/>
        </w:rPr>
        <w:t>（1）聚焦重点产业龙头企业与国内外大型项目</w:t>
      </w:r>
    </w:p>
    <w:p>
      <w:pPr>
        <w:pStyle w:val="79"/>
        <w:ind w:firstLine="640"/>
        <w:rPr>
          <w:rFonts w:hAnsi="楷体"/>
          <w:szCs w:val="32"/>
        </w:rPr>
      </w:pPr>
      <w:r>
        <w:rPr>
          <w:rFonts w:hint="eastAsia" w:hAnsi="楷体"/>
          <w:szCs w:val="32"/>
        </w:rPr>
        <w:t>强化推动大企业招商引进与大项目签约落地。坚持“项目走在投资前”，结合“十四五”规划的重点产业、重点项目、重点园区，积极谋划储备一批强基础、增功能、利长远的重大项目，注重提高质量和效率。在国际合作</w:t>
      </w:r>
      <w:r>
        <w:rPr>
          <w:rFonts w:hint="eastAsia" w:hAnsi="楷体"/>
          <w:szCs w:val="32"/>
          <w:lang w:val="en-US" w:eastAsia="zh-CN"/>
        </w:rPr>
        <w:t>方面</w:t>
      </w:r>
      <w:r>
        <w:rPr>
          <w:rFonts w:hint="eastAsia" w:hAnsi="楷体"/>
          <w:szCs w:val="32"/>
        </w:rPr>
        <w:t>瞄准发达国家和重点地区精准招商，借助国际平台引进重大国际合作项目落地三亚。</w:t>
      </w:r>
    </w:p>
    <w:p>
      <w:pPr>
        <w:pStyle w:val="79"/>
        <w:ind w:firstLine="640"/>
        <w:rPr>
          <w:rFonts w:hAnsi="楷体"/>
          <w:szCs w:val="32"/>
        </w:rPr>
      </w:pPr>
      <w:r>
        <w:rPr>
          <w:rFonts w:hint="eastAsia" w:hAnsi="楷体"/>
          <w:szCs w:val="32"/>
        </w:rPr>
        <w:t>（2）聚焦重点产业园区建设，推进产业链招商</w:t>
      </w:r>
    </w:p>
    <w:p>
      <w:pPr>
        <w:pStyle w:val="79"/>
        <w:ind w:firstLine="640"/>
        <w:rPr>
          <w:rFonts w:hAnsi="楷体"/>
          <w:szCs w:val="32"/>
        </w:rPr>
      </w:pPr>
      <w:r>
        <w:rPr>
          <w:rFonts w:hint="eastAsia" w:hAnsi="楷体"/>
          <w:szCs w:val="32"/>
        </w:rPr>
        <w:t>进一步强化园区规划指导，合理布局支柱型、主导型产业，充分发挥重点产业园区优质企业的影响力和号召力</w:t>
      </w:r>
      <w:r>
        <w:rPr>
          <w:rFonts w:hint="eastAsia" w:hAnsi="楷体"/>
          <w:szCs w:val="32"/>
          <w:lang w:eastAsia="zh-CN"/>
        </w:rPr>
        <w:t>；</w:t>
      </w:r>
      <w:r>
        <w:rPr>
          <w:rFonts w:hint="eastAsia" w:hAnsi="楷体"/>
          <w:szCs w:val="32"/>
        </w:rPr>
        <w:t>加快推动产业集聚，按照“构建产业链、打造产业集群、形成产业生态”发展模式</w:t>
      </w:r>
      <w:r>
        <w:rPr>
          <w:rFonts w:hint="eastAsia" w:hAnsi="楷体"/>
          <w:szCs w:val="32"/>
          <w:lang w:eastAsia="zh-CN"/>
        </w:rPr>
        <w:t>；</w:t>
      </w:r>
      <w:r>
        <w:rPr>
          <w:rFonts w:hint="eastAsia" w:hAnsi="楷体"/>
          <w:szCs w:val="32"/>
        </w:rPr>
        <w:t>着力“增链、补链、强链”，推进产业链招商</w:t>
      </w:r>
      <w:r>
        <w:rPr>
          <w:rFonts w:hint="eastAsia" w:hAnsi="楷体"/>
          <w:szCs w:val="32"/>
          <w:lang w:eastAsia="zh-CN"/>
        </w:rPr>
        <w:t>；</w:t>
      </w:r>
      <w:r>
        <w:rPr>
          <w:rFonts w:hint="eastAsia" w:hAnsi="楷体"/>
          <w:szCs w:val="32"/>
        </w:rPr>
        <w:t>坚持推动重点产业集群化发展，各区加强引进主导产业集群内的多行业、多环节企业，打造产业集群发展生态圈。</w:t>
      </w:r>
    </w:p>
    <w:p>
      <w:pPr>
        <w:pStyle w:val="104"/>
        <w:ind w:firstLine="643"/>
        <w:rPr>
          <w:rFonts w:hint="eastAsia"/>
          <w:b w:val="0"/>
          <w:bCs/>
        </w:rPr>
      </w:pPr>
      <w:bookmarkStart w:id="27" w:name="_Toc69925811"/>
      <w:r>
        <w:rPr>
          <w:rFonts w:hint="eastAsia"/>
          <w:b w:val="0"/>
          <w:bCs/>
        </w:rPr>
        <w:t>2.坚持适度超前原则</w:t>
      </w:r>
      <w:bookmarkEnd w:id="27"/>
    </w:p>
    <w:p>
      <w:pPr>
        <w:pStyle w:val="79"/>
        <w:ind w:firstLine="640"/>
        <w:rPr>
          <w:rFonts w:hAnsi="楷体"/>
          <w:szCs w:val="32"/>
        </w:rPr>
      </w:pPr>
      <w:r>
        <w:rPr>
          <w:rFonts w:hint="eastAsia" w:hAnsi="楷体"/>
          <w:szCs w:val="32"/>
        </w:rPr>
        <w:t>适度超前，加强前瞻性思考，立足产业发展基础，准确把握招商发展规律与发展趋势，着力推动重点领域招商</w:t>
      </w:r>
      <w:r>
        <w:rPr>
          <w:rFonts w:hint="eastAsia" w:hAnsi="楷体"/>
          <w:szCs w:val="32"/>
          <w:lang w:eastAsia="zh-CN"/>
        </w:rPr>
        <w:t>。</w:t>
      </w:r>
      <w:r>
        <w:rPr>
          <w:rFonts w:hint="eastAsia" w:hAnsi="楷体"/>
          <w:szCs w:val="32"/>
        </w:rPr>
        <w:t>适度超前布局新兴科技产业，引进相关科研机构及专业技术企业，夯实产业基础，推动科技成果转化。同时更新招商观念、机制及方式，促进更大范围、更宽领域、更深层次对外开放。完善利用外资工作机制，加大外资招商力度，扩大利用外资招商引资规模，提升利用外资质量。</w:t>
      </w:r>
    </w:p>
    <w:p>
      <w:pPr>
        <w:pStyle w:val="104"/>
        <w:ind w:firstLine="643"/>
        <w:rPr>
          <w:rFonts w:hint="eastAsia"/>
          <w:b w:val="0"/>
          <w:bCs/>
        </w:rPr>
      </w:pPr>
      <w:bookmarkStart w:id="28" w:name="_Toc69925812"/>
      <w:r>
        <w:rPr>
          <w:rFonts w:hint="eastAsia"/>
          <w:b w:val="0"/>
          <w:bCs/>
        </w:rPr>
        <w:t>3.坚持资源配置合理高效原则</w:t>
      </w:r>
      <w:bookmarkEnd w:id="28"/>
    </w:p>
    <w:p>
      <w:pPr>
        <w:pStyle w:val="79"/>
        <w:ind w:firstLine="640"/>
        <w:rPr>
          <w:rFonts w:hAnsi="楷体"/>
          <w:szCs w:val="32"/>
        </w:rPr>
      </w:pPr>
      <w:r>
        <w:rPr>
          <w:rFonts w:hint="eastAsia" w:hAnsi="楷体"/>
          <w:szCs w:val="32"/>
        </w:rPr>
        <w:t>以市场为主导，鼓励以企业或科研机构为主体招商，提高招商引资市场化、专业化程度，提高招商引资效率，促进有效投资。倡导中介机构入场招商，优化招商引资资源配置，完善市场化招商引资机制，实现“以商招商”。</w:t>
      </w:r>
    </w:p>
    <w:p>
      <w:pPr>
        <w:pStyle w:val="104"/>
        <w:ind w:firstLine="643"/>
        <w:rPr>
          <w:rFonts w:hint="eastAsia"/>
          <w:b w:val="0"/>
          <w:bCs/>
        </w:rPr>
      </w:pPr>
      <w:bookmarkStart w:id="29" w:name="_Toc69925813"/>
      <w:r>
        <w:rPr>
          <w:rFonts w:hint="eastAsia"/>
          <w:b w:val="0"/>
          <w:bCs/>
        </w:rPr>
        <w:t>4.坚持长期效益原则</w:t>
      </w:r>
      <w:bookmarkEnd w:id="29"/>
    </w:p>
    <w:p>
      <w:pPr>
        <w:pStyle w:val="79"/>
        <w:ind w:firstLine="640"/>
        <w:rPr>
          <w:rFonts w:hAnsi="楷体"/>
          <w:szCs w:val="32"/>
        </w:rPr>
      </w:pPr>
      <w:r>
        <w:rPr>
          <w:rFonts w:hint="eastAsia" w:hAnsi="楷体"/>
          <w:szCs w:val="32"/>
        </w:rPr>
        <w:t>从服务企业开办注册为主转向引导有效投资落地。从单纯依靠政策驱动、拿地投资驱动、关注短期效益，转变更为关注可持续的长期效益，着力推动招商引资规模和质量的协同提高，科学优化招商引资项目布局。坚持“资金跟着项目走”、“要素跟着项目走”，加强部门沟通协调，做好重大项目的全链条要素保障，提升企业长期效益</w:t>
      </w:r>
      <w:r>
        <w:rPr>
          <w:rFonts w:hint="eastAsia" w:hAnsi="楷体"/>
          <w:szCs w:val="32"/>
          <w:lang w:eastAsia="zh-CN"/>
        </w:rPr>
        <w:t>。</w:t>
      </w:r>
      <w:r>
        <w:rPr>
          <w:rFonts w:hint="eastAsia" w:hAnsi="楷体"/>
          <w:szCs w:val="32"/>
        </w:rPr>
        <w:t>打造投资环境的“三亚样板”，让海内外客商“近悦远来”。</w:t>
      </w:r>
    </w:p>
    <w:p>
      <w:pPr>
        <w:pStyle w:val="101"/>
        <w:ind w:firstLine="640"/>
      </w:pPr>
      <w:bookmarkStart w:id="30" w:name="_Toc75191018"/>
      <w:r>
        <w:rPr>
          <w:rFonts w:hint="eastAsia"/>
        </w:rPr>
        <w:t>四、</w:t>
      </w:r>
      <w:bookmarkStart w:id="31" w:name="_Hlk65961829"/>
      <w:r>
        <w:rPr>
          <w:rFonts w:hint="eastAsia"/>
        </w:rPr>
        <w:t>发展目标</w:t>
      </w:r>
      <w:bookmarkEnd w:id="30"/>
      <w:bookmarkEnd w:id="31"/>
    </w:p>
    <w:bookmarkEnd w:id="22"/>
    <w:bookmarkEnd w:id="23"/>
    <w:bookmarkEnd w:id="24"/>
    <w:p>
      <w:pPr>
        <w:pStyle w:val="102"/>
        <w:ind w:firstLine="643"/>
        <w:rPr>
          <w:rStyle w:val="80"/>
          <w:rFonts w:hint="eastAsia" w:ascii="楷体_GB2312" w:hAnsi="楷体_GB2312" w:eastAsia="楷体_GB2312" w:cs="楷体_GB2312"/>
          <w:b w:val="0"/>
          <w:bCs/>
          <w:szCs w:val="24"/>
        </w:rPr>
      </w:pPr>
      <w:bookmarkStart w:id="32" w:name="_Toc75191019"/>
      <w:bookmarkStart w:id="33" w:name="_Toc268899739"/>
      <w:bookmarkStart w:id="34" w:name="_Toc321438139"/>
      <w:r>
        <w:rPr>
          <w:rStyle w:val="80"/>
          <w:rFonts w:hint="eastAsia" w:ascii="楷体_GB2312" w:hAnsi="楷体_GB2312" w:eastAsia="楷体_GB2312" w:cs="楷体_GB2312"/>
          <w:b w:val="0"/>
          <w:bCs/>
          <w:szCs w:val="24"/>
        </w:rPr>
        <w:t>（一）招商引资质量明显提高</w:t>
      </w:r>
      <w:bookmarkEnd w:id="32"/>
    </w:p>
    <w:p>
      <w:pPr>
        <w:pStyle w:val="79"/>
        <w:ind w:firstLine="640"/>
        <w:rPr>
          <w:rStyle w:val="80"/>
          <w:rFonts w:hAnsi="楷体"/>
          <w:szCs w:val="32"/>
        </w:rPr>
      </w:pPr>
      <w:r>
        <w:rPr>
          <w:rStyle w:val="80"/>
          <w:rFonts w:hint="eastAsia" w:hAnsi="楷体"/>
          <w:szCs w:val="32"/>
        </w:rPr>
        <w:t>实施精准招商，聚焦世界知名龙头企业，着力推动高端、优质项目发展。显著推动经济增长、产业发展、财税增收、民生改善、就业扩大和人才引进，着力提高外来投资效率，逐步提升招商引资合同履约率、项目开工率、资金到位率和投产达产率。在“十四五”期间完成投资额年均增速10%的目标，力争30亿元及以上的项目总量达到150个。大力招引非建造固定资产企业，加强新型国际贸易等运营型、结算型企业招商。目标至2025年，累计落户三亚市的境外世界500强企业达100家，整个“十四五”期间，招商引资单年度营业收入达到366亿元以上。</w:t>
      </w:r>
    </w:p>
    <w:p>
      <w:pPr>
        <w:pStyle w:val="102"/>
        <w:ind w:firstLine="643"/>
        <w:rPr>
          <w:rStyle w:val="80"/>
          <w:rFonts w:hint="eastAsia" w:ascii="楷体_GB2312" w:hAnsi="楷体_GB2312" w:eastAsia="楷体_GB2312" w:cs="楷体_GB2312"/>
          <w:b w:val="0"/>
          <w:bCs/>
          <w:szCs w:val="24"/>
        </w:rPr>
      </w:pPr>
      <w:bookmarkStart w:id="35" w:name="_Toc75191020"/>
      <w:r>
        <w:rPr>
          <w:rStyle w:val="80"/>
          <w:rFonts w:hint="eastAsia" w:ascii="楷体_GB2312" w:hAnsi="楷体_GB2312" w:eastAsia="楷体_GB2312" w:cs="楷体_GB2312"/>
          <w:b w:val="0"/>
          <w:bCs/>
          <w:szCs w:val="24"/>
        </w:rPr>
        <w:t>（二）重点产业招商取得突破</w:t>
      </w:r>
      <w:bookmarkEnd w:id="35"/>
    </w:p>
    <w:p>
      <w:pPr>
        <w:pStyle w:val="79"/>
        <w:ind w:firstLine="640"/>
        <w:rPr>
          <w:rStyle w:val="80"/>
          <w:rFonts w:hAnsi="楷体"/>
          <w:szCs w:val="32"/>
        </w:rPr>
      </w:pPr>
      <w:r>
        <w:rPr>
          <w:rStyle w:val="80"/>
          <w:rFonts w:hint="eastAsia" w:hAnsi="楷体"/>
          <w:szCs w:val="32"/>
        </w:rPr>
        <w:t>招商引资工作更加紧密贴合全市经济发展规划、重点产业发展规划及园区发展规划，重点产业招商收效显著。加快打造国际旅游消费中心，深度开发国际旅游市场，努力创建一流的旅游消费环境；推动现代服务业集聚发展，培育金融、医疗健康、会展、深海、文化、体育等产业集聚发展；加速高新技术产业发展，打造自贸港创新驱动发展基地；聚焦农村产业发展，打造热带特色高效农业“王牌”。目标至2025年，基本实现以旅游业、现代服务业和高新技术产业为主导</w:t>
      </w:r>
      <w:r>
        <w:rPr>
          <w:rStyle w:val="80"/>
          <w:rFonts w:hint="eastAsia" w:hAnsi="楷体"/>
          <w:szCs w:val="32"/>
          <w:lang w:eastAsia="zh-CN"/>
        </w:rPr>
        <w:t>，</w:t>
      </w:r>
      <w:r>
        <w:rPr>
          <w:rStyle w:val="80"/>
          <w:rFonts w:hint="eastAsia" w:hAnsi="楷体"/>
          <w:szCs w:val="32"/>
        </w:rPr>
        <w:t>以热带特色高效农业为支撑的现代产业体系，引领经济跨越式升级和对外开放实质性突破。</w:t>
      </w:r>
    </w:p>
    <w:p>
      <w:pPr>
        <w:pStyle w:val="102"/>
        <w:ind w:firstLine="643"/>
        <w:rPr>
          <w:rStyle w:val="80"/>
          <w:rFonts w:hint="eastAsia" w:ascii="楷体_GB2312" w:hAnsi="楷体_GB2312" w:eastAsia="楷体_GB2312" w:cs="楷体_GB2312"/>
          <w:b w:val="0"/>
          <w:bCs/>
          <w:szCs w:val="24"/>
        </w:rPr>
      </w:pPr>
      <w:bookmarkStart w:id="36" w:name="_Toc75191021"/>
      <w:r>
        <w:rPr>
          <w:rStyle w:val="80"/>
          <w:rFonts w:hint="eastAsia" w:ascii="楷体_GB2312" w:hAnsi="楷体_GB2312" w:eastAsia="楷体_GB2312" w:cs="楷体_GB2312"/>
          <w:b w:val="0"/>
          <w:bCs/>
          <w:szCs w:val="24"/>
        </w:rPr>
        <w:t>（三）区域发展格局总体优化</w:t>
      </w:r>
      <w:bookmarkEnd w:id="36"/>
    </w:p>
    <w:p>
      <w:pPr>
        <w:pStyle w:val="79"/>
        <w:ind w:firstLine="640"/>
        <w:rPr>
          <w:rStyle w:val="80"/>
          <w:rFonts w:hAnsi="楷体"/>
          <w:szCs w:val="32"/>
        </w:rPr>
      </w:pPr>
      <w:r>
        <w:rPr>
          <w:rStyle w:val="80"/>
          <w:rFonts w:hint="eastAsia" w:hAnsi="楷体"/>
          <w:szCs w:val="32"/>
        </w:rPr>
        <w:t>招商引资实现差异化定位、特色化发展，科学避免同质化竞争</w:t>
      </w:r>
      <w:r>
        <w:rPr>
          <w:rStyle w:val="80"/>
          <w:rFonts w:hint="eastAsia" w:hAnsi="楷体"/>
          <w:szCs w:val="32"/>
          <w:lang w:eastAsia="zh-CN"/>
        </w:rPr>
        <w:t>。</w:t>
      </w:r>
      <w:r>
        <w:rPr>
          <w:rStyle w:val="80"/>
          <w:rFonts w:hint="eastAsia" w:hAnsi="楷体"/>
          <w:szCs w:val="32"/>
        </w:rPr>
        <w:t>外来投资在本市空间布局总体优化，恰当布局支柱型及主导型产业。内外资引进实现平衡、协调发展，推动中央商务区及崖州湾科技城等重点园区聚集外来资金、技术、管理和人才。建立健全</w:t>
      </w:r>
      <w:r>
        <w:rPr>
          <w:rStyle w:val="80"/>
          <w:rFonts w:hint="eastAsia" w:hAnsi="楷体"/>
          <w:szCs w:val="32"/>
          <w:lang w:val="en-US" w:eastAsia="zh-CN"/>
        </w:rPr>
        <w:t>的</w:t>
      </w:r>
      <w:r>
        <w:rPr>
          <w:rStyle w:val="80"/>
          <w:rFonts w:hint="eastAsia" w:hAnsi="楷体"/>
          <w:szCs w:val="32"/>
        </w:rPr>
        <w:t>重点产业园区规划管理机制，把四至范围、功能定位、准入清单、园区配套、行政管理、监管模式做扎实。确保承接自贸港政策早期安排，为打造引领我国新时代对外开放重要门户奠定基础。</w:t>
      </w:r>
    </w:p>
    <w:bookmarkEnd w:id="1"/>
    <w:bookmarkEnd w:id="33"/>
    <w:bookmarkEnd w:id="34"/>
    <w:p>
      <w:pPr>
        <w:pStyle w:val="101"/>
        <w:ind w:firstLine="640"/>
      </w:pPr>
      <w:bookmarkStart w:id="37" w:name="_Toc455379861"/>
      <w:bookmarkStart w:id="38" w:name="_Toc451435273"/>
      <w:bookmarkStart w:id="39" w:name="_Toc75191022"/>
      <w:bookmarkStart w:id="40" w:name="_Toc325266442"/>
      <w:r>
        <w:rPr>
          <w:rFonts w:hint="eastAsia"/>
        </w:rPr>
        <w:t>五、</w:t>
      </w:r>
      <w:bookmarkEnd w:id="37"/>
      <w:bookmarkEnd w:id="38"/>
      <w:r>
        <w:rPr>
          <w:rFonts w:hint="eastAsia"/>
        </w:rPr>
        <w:t>重点任务和具体举措</w:t>
      </w:r>
      <w:bookmarkEnd w:id="39"/>
    </w:p>
    <w:p>
      <w:pPr>
        <w:pStyle w:val="102"/>
        <w:ind w:firstLine="643"/>
        <w:rPr>
          <w:rStyle w:val="80"/>
          <w:rFonts w:hint="eastAsia" w:ascii="楷体_GB2312" w:hAnsi="楷体_GB2312" w:eastAsia="楷体_GB2312" w:cs="楷体_GB2312"/>
          <w:b w:val="0"/>
          <w:bCs/>
          <w:szCs w:val="24"/>
        </w:rPr>
      </w:pPr>
      <w:bookmarkStart w:id="41" w:name="_Toc455379862"/>
      <w:bookmarkStart w:id="42" w:name="_Toc451435274"/>
      <w:bookmarkStart w:id="43" w:name="_Toc75191023"/>
      <w:r>
        <w:rPr>
          <w:rStyle w:val="80"/>
          <w:rFonts w:hint="eastAsia" w:ascii="楷体_GB2312" w:hAnsi="楷体_GB2312" w:eastAsia="楷体_GB2312" w:cs="楷体_GB2312"/>
          <w:b w:val="0"/>
          <w:bCs/>
          <w:szCs w:val="24"/>
        </w:rPr>
        <w:t>（一）</w:t>
      </w:r>
      <w:bookmarkEnd w:id="40"/>
      <w:bookmarkEnd w:id="41"/>
      <w:bookmarkEnd w:id="42"/>
      <w:r>
        <w:rPr>
          <w:rStyle w:val="80"/>
          <w:rFonts w:hint="eastAsia" w:ascii="楷体_GB2312" w:hAnsi="楷体_GB2312" w:eastAsia="楷体_GB2312" w:cs="楷体_GB2312"/>
          <w:b w:val="0"/>
          <w:bCs/>
          <w:szCs w:val="24"/>
        </w:rPr>
        <w:t>实现旅文产业跨越式升级</w:t>
      </w:r>
      <w:bookmarkEnd w:id="43"/>
    </w:p>
    <w:p>
      <w:pPr>
        <w:pStyle w:val="79"/>
        <w:ind w:firstLine="640"/>
        <w:rPr>
          <w:szCs w:val="32"/>
        </w:rPr>
      </w:pPr>
      <w:bookmarkStart w:id="44" w:name="_Toc325266443"/>
      <w:bookmarkStart w:id="45" w:name="_Toc321438147"/>
      <w:bookmarkStart w:id="46" w:name="_Toc325266642"/>
      <w:r>
        <w:rPr>
          <w:rFonts w:hint="eastAsia"/>
          <w:szCs w:val="32"/>
        </w:rPr>
        <w:t>把握自由贸易港建设下开放创新机遇，发掘三亚</w:t>
      </w:r>
      <w:r>
        <w:rPr>
          <w:rFonts w:hint="eastAsia"/>
          <w:szCs w:val="32"/>
          <w:lang w:val="en-US" w:eastAsia="zh-CN"/>
        </w:rPr>
        <w:t>本地</w:t>
      </w:r>
      <w:r>
        <w:rPr>
          <w:rFonts w:hint="eastAsia"/>
          <w:szCs w:val="32"/>
        </w:rPr>
        <w:t>优势，释放海南自由贸易港人员、资金等要素</w:t>
      </w:r>
      <w:r>
        <w:rPr>
          <w:rFonts w:hint="eastAsia"/>
          <w:szCs w:val="32"/>
          <w:lang w:eastAsia="zh-CN"/>
        </w:rPr>
        <w:t>。</w:t>
      </w:r>
      <w:r>
        <w:rPr>
          <w:rFonts w:hint="eastAsia"/>
          <w:szCs w:val="32"/>
        </w:rPr>
        <w:t>安全有序</w:t>
      </w:r>
      <w:r>
        <w:rPr>
          <w:rFonts w:hint="eastAsia"/>
          <w:szCs w:val="32"/>
          <w:lang w:val="en-US" w:eastAsia="zh-CN"/>
        </w:rPr>
        <w:t>提升</w:t>
      </w:r>
      <w:r>
        <w:rPr>
          <w:rFonts w:hint="eastAsia"/>
          <w:szCs w:val="32"/>
        </w:rPr>
        <w:t>流动潜能，以汇聚客群流量与深挖客群消费潜能为重要抓手，打造千亿</w:t>
      </w:r>
      <w:r>
        <w:rPr>
          <w:rFonts w:hint="eastAsia"/>
          <w:szCs w:val="32"/>
          <w:lang w:val="en-US" w:eastAsia="zh-CN"/>
        </w:rPr>
        <w:t>级</w:t>
      </w:r>
      <w:r>
        <w:rPr>
          <w:rFonts w:hint="eastAsia"/>
          <w:szCs w:val="32"/>
        </w:rPr>
        <w:t>主导产业——旅文产业。深挖三亚自然风光独特资源和旅游产业基础优势，大力发展体育特色旅游、主题乐园旅游、邮轮游艇游等旅游创新业态，丰富三亚旅游产品体系</w:t>
      </w:r>
      <w:r>
        <w:rPr>
          <w:rFonts w:hint="eastAsia"/>
          <w:szCs w:val="32"/>
          <w:lang w:eastAsia="zh-CN"/>
        </w:rPr>
        <w:t>。</w:t>
      </w:r>
      <w:r>
        <w:rPr>
          <w:rFonts w:hint="eastAsia"/>
          <w:szCs w:val="32"/>
        </w:rPr>
        <w:t>构建海南环岛公路沿线消费体系，促进全岛全域旅游发展</w:t>
      </w:r>
      <w:r>
        <w:rPr>
          <w:rFonts w:hint="eastAsia"/>
          <w:szCs w:val="32"/>
          <w:lang w:eastAsia="zh-CN"/>
        </w:rPr>
        <w:t>。</w:t>
      </w:r>
      <w:r>
        <w:rPr>
          <w:rFonts w:hint="eastAsia"/>
          <w:szCs w:val="32"/>
        </w:rPr>
        <w:t>以离岛免税为重要抓手全面释放旅游消费活力，提升三亚旅游消费能级。以世界级旅游消费中心建设为目标，全方位升级旅游产品业态与消费设施服务，推动旅游业</w:t>
      </w:r>
      <w:r>
        <w:rPr>
          <w:rFonts w:hint="eastAsia"/>
          <w:szCs w:val="32"/>
          <w:lang w:val="en-US" w:eastAsia="zh-CN"/>
        </w:rPr>
        <w:t>跨越</w:t>
      </w:r>
      <w:r>
        <w:rPr>
          <w:rFonts w:hint="eastAsia"/>
          <w:szCs w:val="32"/>
        </w:rPr>
        <w:t>式升级，实现全域旅游高质量发展，打造成为国际旅游消费中心核心区。</w:t>
      </w:r>
    </w:p>
    <w:p>
      <w:pPr>
        <w:pStyle w:val="104"/>
        <w:ind w:firstLine="643"/>
        <w:rPr>
          <w:rFonts w:hint="eastAsia"/>
          <w:b w:val="0"/>
          <w:bCs/>
        </w:rPr>
      </w:pPr>
      <w:r>
        <w:rPr>
          <w:rFonts w:hint="eastAsia"/>
          <w:b w:val="0"/>
          <w:bCs/>
        </w:rPr>
        <w:t>1.构建丰富旅游产品体系</w:t>
      </w:r>
    </w:p>
    <w:p>
      <w:pPr>
        <w:pStyle w:val="79"/>
        <w:ind w:firstLine="640"/>
        <w:rPr>
          <w:szCs w:val="32"/>
        </w:rPr>
      </w:pPr>
      <w:r>
        <w:rPr>
          <w:rFonts w:hint="eastAsia"/>
          <w:szCs w:val="32"/>
        </w:rPr>
        <w:t>（1）打造体育特色旅游目的地</w:t>
      </w:r>
    </w:p>
    <w:p>
      <w:pPr>
        <w:pStyle w:val="79"/>
        <w:ind w:firstLine="640"/>
        <w:rPr>
          <w:szCs w:val="32"/>
        </w:rPr>
      </w:pPr>
      <w:r>
        <w:rPr>
          <w:rFonts w:hint="eastAsia"/>
          <w:szCs w:val="32"/>
        </w:rPr>
        <w:t>大力发展体育休闲运动，推动体育旅游快速发展。引进包括澳大利亚最大的跳伞训练机构ISA集团在内的国内外知名潜水、海钓、滑水、冲浪、游艇、帆船、摩托艇、拖曳伞、沙滩摩托车、沙滩排球、沙滩足球、高尔夫等体育项目服务商，丰富三亚休闲体育运动服务项目，挖掘虚拟高尔夫、自行车创意运动等体育创意旅游项目，探索体育创意产业与旅游产业融合发展。继续加强三亚天涯海角、三亚蜈支洲岛、三亚西岛等体育旅游景区和三亚鸿洲国际游艇会码头、三亚半山半岛帆船港游艇码头建设，招引知名管理机构和营销机构，打造高品质体育旅游产品。</w:t>
      </w:r>
    </w:p>
    <w:p>
      <w:pPr>
        <w:pStyle w:val="79"/>
        <w:ind w:firstLine="640"/>
      </w:pPr>
      <w:r>
        <w:rPr>
          <w:rFonts w:hint="eastAsia"/>
          <w:szCs w:val="32"/>
        </w:rPr>
        <w:t>积极推进三亚电子竞技产业发展。加快全球顶级电竞赛事引进，争取英雄联盟世界总决赛、WUCG联赛全球总决赛等顶级电竞联赛的开幕式、总决赛以及重要分会场落地三亚。依托三亚电子竞技公开赛、WUCG世界大学生电子竞技联赛等顶级赛事及OMG电竞俱乐部等主体，建设三亚青年城国际电竞主题公园，持续吸引电竞俱乐部、电竞媒体、电竞内容制作商、赛事运营商等相关企业，发展电竞产业集聚区，健全三亚电竞产业生态链。</w:t>
      </w:r>
      <w:r>
        <w:rPr>
          <w:rFonts w:hint="eastAsia"/>
        </w:rPr>
        <w:t>围绕赛事、人才、规范、产业等大板块，引进电竞游戏、赛事、俱乐部、主播解说、播出制作项目等领域企业和俱乐部，推动电竞全产业链发展</w:t>
      </w:r>
      <w:r>
        <w:rPr>
          <w:rFonts w:hint="eastAsia"/>
          <w:lang w:eastAsia="zh-CN"/>
        </w:rPr>
        <w:t>。</w:t>
      </w:r>
      <w:r>
        <w:rPr>
          <w:rFonts w:hint="eastAsia"/>
        </w:rPr>
        <w:t>引进超竞教育、七煌集团等教育机构，推出奖学金计划，帮助电竞选手进行职业教育</w:t>
      </w:r>
      <w:r>
        <w:rPr>
          <w:rFonts w:hint="eastAsia"/>
          <w:lang w:eastAsia="zh-CN"/>
        </w:rPr>
        <w:t>。</w:t>
      </w:r>
      <w:r>
        <w:rPr>
          <w:rFonts w:hint="eastAsia"/>
        </w:rPr>
        <w:t>力争引入腾讯集团等企业进行战略合作，打造新技术与应用融合，利用标准化的技术规范与应用。</w:t>
      </w:r>
    </w:p>
    <w:p>
      <w:pPr>
        <w:pStyle w:val="79"/>
        <w:ind w:firstLine="640"/>
        <w:rPr>
          <w:szCs w:val="32"/>
        </w:rPr>
      </w:pPr>
      <w:r>
        <w:rPr>
          <w:rFonts w:hint="eastAsia"/>
          <w:szCs w:val="32"/>
        </w:rPr>
        <w:t>打造国际体育赛事聚集地。策划招引一批新型海洋运动竞赛项目和极限运动赛事落地三亚，大力推动近海一级动力艇世界锦标赛C（1）、美洲杯帆船赛、沃尔沃环球帆船赛、司南杯大帆船赛、高尔夫精英赛、世界桥牌锦标赛等国际知名赛事活动在三亚设立中国赛段固定赛点</w:t>
      </w:r>
      <w:r>
        <w:rPr>
          <w:rFonts w:hint="eastAsia"/>
          <w:szCs w:val="32"/>
          <w:lang w:eastAsia="zh-CN"/>
        </w:rPr>
        <w:t>。</w:t>
      </w:r>
      <w:r>
        <w:rPr>
          <w:rFonts w:hint="eastAsia"/>
          <w:szCs w:val="32"/>
        </w:rPr>
        <w:t>充分发挥世界级赛事的人流带动效应，进一步提升城市影响力。</w:t>
      </w:r>
    </w:p>
    <w:p>
      <w:pPr>
        <w:pStyle w:val="79"/>
        <w:ind w:firstLine="640"/>
        <w:rPr>
          <w:szCs w:val="32"/>
        </w:rPr>
      </w:pPr>
      <w:r>
        <w:rPr>
          <w:rFonts w:hint="eastAsia"/>
          <w:szCs w:val="32"/>
        </w:rPr>
        <w:t>（2）创造主题游乐园集聚地</w:t>
      </w:r>
    </w:p>
    <w:p>
      <w:pPr>
        <w:pStyle w:val="79"/>
        <w:ind w:firstLine="640"/>
        <w:rPr>
          <w:szCs w:val="32"/>
        </w:rPr>
      </w:pPr>
      <w:r>
        <w:rPr>
          <w:rFonts w:hint="eastAsia"/>
          <w:szCs w:val="32"/>
        </w:rPr>
        <w:t>积极引进国际知名主题乐园。借鉴迪拜乐园及度假村等新生代主题乐园集群化发展模式，积极对接环球影城娱乐集团、迪士尼集团、默林娱乐集团、海洋世界娱乐集团等全球知名主题公园运营主体</w:t>
      </w:r>
      <w:r>
        <w:rPr>
          <w:rFonts w:hint="eastAsia"/>
          <w:szCs w:val="32"/>
          <w:lang w:eastAsia="zh-CN"/>
        </w:rPr>
        <w:t>。</w:t>
      </w:r>
      <w:r>
        <w:rPr>
          <w:rFonts w:hint="eastAsia"/>
          <w:szCs w:val="32"/>
        </w:rPr>
        <w:t>继续协调推进Hello</w:t>
      </w:r>
      <w:r>
        <w:rPr>
          <w:rFonts w:hint="eastAsia"/>
          <w:szCs w:val="32"/>
          <w:lang w:val="en-US" w:eastAsia="zh-CN"/>
        </w:rPr>
        <w:t xml:space="preserve"> </w:t>
      </w:r>
      <w:r>
        <w:rPr>
          <w:rFonts w:hint="eastAsia"/>
          <w:szCs w:val="32"/>
        </w:rPr>
        <w:t>Kitty主题乐园、ISY音乐主题乐园、FE赛车主题乐园等国际级主题乐园项目落地建设，站位全球主题公园体系金字塔尖，打造世界主题公园之都。</w:t>
      </w:r>
    </w:p>
    <w:p>
      <w:pPr>
        <w:pStyle w:val="79"/>
        <w:ind w:firstLine="640"/>
        <w:rPr>
          <w:szCs w:val="32"/>
        </w:rPr>
      </w:pPr>
      <w:r>
        <w:rPr>
          <w:rFonts w:hint="eastAsia"/>
          <w:szCs w:val="32"/>
        </w:rPr>
        <w:t>（3）发展邮轮游艇高端旅游产品</w:t>
      </w:r>
    </w:p>
    <w:p>
      <w:pPr>
        <w:pStyle w:val="79"/>
        <w:ind w:firstLine="640"/>
        <w:rPr>
          <w:szCs w:val="32"/>
        </w:rPr>
      </w:pPr>
      <w:r>
        <w:rPr>
          <w:rFonts w:hint="eastAsia"/>
          <w:szCs w:val="32"/>
        </w:rPr>
        <w:t>大力发展邮轮游艇产业和衍生旅游产品。依托《海南自由贸易港交通工具及游艇“零关税”政策海关实施办法（试行）》政策，吸引国内外知名游艇企业入驻</w:t>
      </w:r>
      <w:r>
        <w:rPr>
          <w:rFonts w:hint="eastAsia"/>
          <w:szCs w:val="32"/>
          <w:lang w:eastAsia="zh-CN"/>
        </w:rPr>
        <w:t>。</w:t>
      </w:r>
      <w:r>
        <w:rPr>
          <w:rFonts w:hint="eastAsia"/>
          <w:szCs w:val="32"/>
        </w:rPr>
        <w:t>凭借对邮轮港经营企业</w:t>
      </w:r>
      <w:r>
        <w:rPr>
          <w:rFonts w:hint="eastAsia"/>
          <w:szCs w:val="32"/>
          <w:lang w:val="en-US" w:eastAsia="zh-CN"/>
        </w:rPr>
        <w:t>给予</w:t>
      </w:r>
      <w:r>
        <w:rPr>
          <w:rFonts w:hint="eastAsia"/>
          <w:szCs w:val="32"/>
        </w:rPr>
        <w:t>奖励或者税收减免的优惠政策，在邮轮游艇产业政策利好的背景下，大力发展邮轮游艇+体育（海钓、滑水、潜水等）旅游、邮轮游艇+婚礼等情感旅游、邮轮游艇+研学旅游等主题体验旅游产品，积极推进依托邮轮游艇产业衍生出的新兴文化旅游产品发展，丰富三亚旅游产品体系。大力促成21世纪海上丝绸之路邮轮旅游产业大会，邮轮旅游产品展会，游艇旅游论坛及游艇旅游产品展会，打造国际交流平台。</w:t>
      </w:r>
    </w:p>
    <w:p>
      <w:pPr>
        <w:pStyle w:val="79"/>
        <w:ind w:firstLine="640"/>
        <w:rPr>
          <w:szCs w:val="32"/>
        </w:rPr>
      </w:pPr>
      <w:r>
        <w:rPr>
          <w:rFonts w:hint="eastAsia"/>
          <w:szCs w:val="32"/>
        </w:rPr>
        <w:t>（4）全面推动文化旅游项目发展</w:t>
      </w:r>
    </w:p>
    <w:p>
      <w:pPr>
        <w:pStyle w:val="79"/>
        <w:ind w:firstLine="640"/>
        <w:rPr>
          <w:szCs w:val="32"/>
        </w:rPr>
      </w:pPr>
      <w:r>
        <w:rPr>
          <w:rFonts w:hint="eastAsia"/>
          <w:szCs w:val="32"/>
        </w:rPr>
        <w:t>发扬本土民族民俗文化。依托黎族民间歌舞和器乐等非物质文化遗产与黎苗文化旅游区等等少数民族文化体验区</w:t>
      </w:r>
      <w:r>
        <w:rPr>
          <w:rFonts w:hint="eastAsia"/>
          <w:szCs w:val="32"/>
          <w:lang w:eastAsia="zh-CN"/>
        </w:rPr>
        <w:t>。</w:t>
      </w:r>
      <w:r>
        <w:rPr>
          <w:rFonts w:hint="eastAsia"/>
          <w:szCs w:val="32"/>
        </w:rPr>
        <w:t>招揽风语筑等文化艺术创意企业，深度设计开发黎族文化、海洋文化、历史文化等资源，增强古镇古村、黎村、南洋风格民居等文化旅游功能。</w:t>
      </w:r>
    </w:p>
    <w:p>
      <w:pPr>
        <w:pStyle w:val="79"/>
        <w:ind w:firstLine="640"/>
        <w:rPr>
          <w:szCs w:val="32"/>
        </w:rPr>
      </w:pPr>
      <w:r>
        <w:rPr>
          <w:rFonts w:hint="eastAsia"/>
          <w:szCs w:val="32"/>
        </w:rPr>
        <w:t>大力推动三亚乡村旅游发展。依托三亚优良的自然生态环境，同时结合农林渔牧业发展基础，积极引进或培育一批高质量的休闲农业企业</w:t>
      </w:r>
      <w:r>
        <w:rPr>
          <w:rFonts w:hint="eastAsia"/>
          <w:szCs w:val="32"/>
          <w:lang w:eastAsia="zh-CN"/>
        </w:rPr>
        <w:t>。</w:t>
      </w:r>
      <w:r>
        <w:rPr>
          <w:rFonts w:hint="eastAsia"/>
          <w:szCs w:val="32"/>
        </w:rPr>
        <w:t>在休闲农庄、农家乐体验、民俗体验等传统乡村旅游项目的基础上，进一步开发热带蔬果采摘、田园农业游、农务体验游、乡村垂钓等乡村旅游特色产品，为广大游客提供经济实惠、亲近自然的旅游产品。</w:t>
      </w:r>
    </w:p>
    <w:p>
      <w:pPr>
        <w:pStyle w:val="79"/>
        <w:ind w:firstLine="640"/>
        <w:rPr>
          <w:szCs w:val="32"/>
        </w:rPr>
      </w:pPr>
      <w:r>
        <w:rPr>
          <w:rFonts w:hint="eastAsia"/>
          <w:szCs w:val="32"/>
        </w:rPr>
        <w:t>打造国际文化演艺交流中心。以三亚国际音乐节、海南岛国际电影节、三亚国际艺术节等主题活动的品牌影响力为基础，依托演艺中心、音乐厅、美术馆等文化场馆，鼓励全球多元文化引入</w:t>
      </w:r>
      <w:r>
        <w:rPr>
          <w:rFonts w:hint="eastAsia"/>
          <w:szCs w:val="32"/>
          <w:lang w:eastAsia="zh-CN"/>
        </w:rPr>
        <w:t>。</w:t>
      </w:r>
      <w:r>
        <w:rPr>
          <w:rFonts w:hint="eastAsia"/>
          <w:szCs w:val="32"/>
        </w:rPr>
        <w:t>积极招揽包括倪德伦环球娱乐公司、现场之国娱乐公司在内的国内外知名娱乐公司，争取国内外顶级演唱会、知名话剧、歌剧、音乐剧等演艺活动在三亚常态化驻场演出</w:t>
      </w:r>
      <w:r>
        <w:rPr>
          <w:rFonts w:hint="eastAsia"/>
          <w:szCs w:val="32"/>
          <w:lang w:eastAsia="zh-CN"/>
        </w:rPr>
        <w:t>。</w:t>
      </w:r>
      <w:r>
        <w:rPr>
          <w:rFonts w:hint="eastAsia"/>
          <w:szCs w:val="32"/>
        </w:rPr>
        <w:t>同时持续引进国际知名的动漫、美术、文化等展览，打造海内外知名艺术家、艺术团体在中国的首发首秀地，全面提升三亚文化气质。</w:t>
      </w:r>
    </w:p>
    <w:p>
      <w:pPr>
        <w:pStyle w:val="79"/>
        <w:ind w:firstLine="640"/>
        <w:rPr>
          <w:szCs w:val="32"/>
        </w:rPr>
      </w:pPr>
      <w:r>
        <w:rPr>
          <w:rFonts w:hint="eastAsia"/>
          <w:szCs w:val="32"/>
        </w:rPr>
        <w:t>鼓励影视文化旅游目的地建设。借助三亚天然影棚优势，引进华谊兄弟、万达影业、时代华纳等国内外知名影视拍摄、制作、运营、内容生产、IP运营等企业，打造全域全时化国际影视拍摄取景地、国际影视后期制作中心和人才实训平台。建设三亚传媒中心及影视小镇，打造高品质影视文化旅游目的地。同时吸引国内外知名剧组、影视明星来三亚进行拍摄，为海南文化旅游产业做宣传。</w:t>
      </w:r>
    </w:p>
    <w:p>
      <w:pPr>
        <w:pStyle w:val="79"/>
        <w:ind w:firstLine="640"/>
        <w:rPr>
          <w:szCs w:val="32"/>
        </w:rPr>
      </w:pPr>
      <w:r>
        <w:rPr>
          <w:rFonts w:hint="eastAsia"/>
          <w:szCs w:val="32"/>
        </w:rPr>
        <w:t>推动国际文化艺术品交易发展。依托在海关特殊监管区内设立国际文化艺术品交易场所的特殊政策，吸引国内外知名艺术品交易机构与配套服务商在三亚开展业务。吸引国内外知名博物馆、文物流通经营、艺术品拍卖、画廊等机构与企业开展艺术品交易活动。除基础国际艺术品保税、交易及展示等交易之外，利用自身优势和特点，找准衍生服务发展方向，积极培育吸引包括文物修复、产品加工、艺术品确权、鉴定估值、展销采购、国际结算、进出口代理、交易租赁、金融保险、商贸咨询、文创产品开发、物流运输、人才培训、会议论坛等全方位衍生服务商。</w:t>
      </w:r>
    </w:p>
    <w:p>
      <w:pPr>
        <w:pStyle w:val="104"/>
        <w:ind w:firstLine="643"/>
        <w:rPr>
          <w:rFonts w:hint="eastAsia"/>
          <w:b w:val="0"/>
          <w:bCs/>
        </w:rPr>
      </w:pPr>
      <w:r>
        <w:rPr>
          <w:rFonts w:hint="eastAsia"/>
          <w:b w:val="0"/>
          <w:bCs/>
        </w:rPr>
        <w:t>2.提升三亚旅游消费能级</w:t>
      </w:r>
    </w:p>
    <w:p>
      <w:pPr>
        <w:pStyle w:val="79"/>
        <w:ind w:firstLine="640"/>
        <w:rPr>
          <w:szCs w:val="32"/>
        </w:rPr>
      </w:pPr>
      <w:r>
        <w:rPr>
          <w:rFonts w:hint="eastAsia"/>
          <w:szCs w:val="32"/>
        </w:rPr>
        <w:t>（1）构建环岛公路旅游消费体系</w:t>
      </w:r>
    </w:p>
    <w:p>
      <w:pPr>
        <w:pStyle w:val="79"/>
        <w:ind w:firstLine="640"/>
        <w:rPr>
          <w:szCs w:val="32"/>
        </w:rPr>
      </w:pPr>
      <w:r>
        <w:rPr>
          <w:rFonts w:hint="eastAsia"/>
          <w:szCs w:val="32"/>
        </w:rPr>
        <w:t>以“一环、两心、四片、满天星”的环岛旅游带建设为指引，充分发挥环岛旅游公路的串联作用</w:t>
      </w:r>
      <w:r>
        <w:rPr>
          <w:rFonts w:hint="eastAsia"/>
          <w:szCs w:val="32"/>
          <w:lang w:eastAsia="zh-CN"/>
        </w:rPr>
        <w:t>。</w:t>
      </w:r>
      <w:r>
        <w:rPr>
          <w:rFonts w:hint="eastAsia"/>
          <w:szCs w:val="32"/>
        </w:rPr>
        <w:t>借助海棠花语、崖州红韵、椰洲鹭鸣三个公路驿站，建立完善的环岛公路沿线消费体系</w:t>
      </w:r>
      <w:r>
        <w:rPr>
          <w:rFonts w:hint="eastAsia"/>
          <w:szCs w:val="32"/>
          <w:lang w:eastAsia="zh-CN"/>
        </w:rPr>
        <w:t>。</w:t>
      </w:r>
      <w:r>
        <w:rPr>
          <w:rFonts w:hint="eastAsia"/>
          <w:szCs w:val="32"/>
        </w:rPr>
        <w:t>招揽高品质主题公园、娱乐项目、度假酒店、博物历史、商业购物、餐饮美食等六大商业业态，满足游客吃、住、行、游、购、娱等需求的同时，满足游客文化和娱乐体验需要</w:t>
      </w:r>
      <w:r>
        <w:rPr>
          <w:rFonts w:hint="eastAsia"/>
          <w:szCs w:val="32"/>
          <w:lang w:eastAsia="zh-CN"/>
        </w:rPr>
        <w:t>。</w:t>
      </w:r>
      <w:r>
        <w:rPr>
          <w:rFonts w:hint="eastAsia"/>
          <w:szCs w:val="32"/>
        </w:rPr>
        <w:t>打造海南热门环岛旅游路线，推动构建全域、全季、全时旅游消费格局。</w:t>
      </w:r>
    </w:p>
    <w:p>
      <w:pPr>
        <w:pStyle w:val="79"/>
        <w:ind w:firstLine="640"/>
        <w:rPr>
          <w:szCs w:val="32"/>
        </w:rPr>
      </w:pPr>
      <w:r>
        <w:rPr>
          <w:rFonts w:hint="eastAsia"/>
          <w:szCs w:val="32"/>
        </w:rPr>
        <w:t>（2）进一步促进三亚旅游消费市场增长</w:t>
      </w:r>
    </w:p>
    <w:p>
      <w:pPr>
        <w:pStyle w:val="79"/>
        <w:snapToGrid w:val="0"/>
        <w:spacing w:after="240"/>
        <w:ind w:firstLine="640"/>
        <w:contextualSpacing w:val="0"/>
        <w:rPr>
          <w:szCs w:val="32"/>
        </w:rPr>
      </w:pPr>
      <w:r>
        <w:rPr>
          <w:rFonts w:hint="eastAsia"/>
          <w:szCs w:val="32"/>
        </w:rPr>
        <w:t>依托中国独一的离岛免税政策，完善旅游消费配套服务。抓住以高端消费为主的消费回流机遇，目标争取在“十四五”期间吸引免税购物回流3000亿元人民币，到2030年免税购物回流达到8000亿。积极引进国际知名奢侈品牌、国际大师工作室、时尚营销机构、高端零售百货等机构在三亚开设首家免税旗舰店和区域总部，将三亚打造成为知名的高端消费目的地之一，让国人不出国就可以购买到世界级高端消费品。加快发展首店经济，积极引入全球知名品牌旗舰店，为品牌进驻三亚提供对接洽谈平台。对接国际时装周、品牌新品发布会等，将三亚打造为全球时尚消费新地标、全球免税消费中心。以海棠湾中免免税店为核心，拓展离岛免税商品目录，积极争取高端消费品免税政策，强化免税购物消费的带动作用</w:t>
      </w:r>
      <w:r>
        <w:rPr>
          <w:rFonts w:hint="eastAsia"/>
          <w:szCs w:val="32"/>
          <w:lang w:eastAsia="zh-CN"/>
        </w:rPr>
        <w:t>。</w:t>
      </w:r>
      <w:r>
        <w:rPr>
          <w:rFonts w:hint="eastAsia"/>
          <w:szCs w:val="32"/>
        </w:rPr>
        <w:t>积极推动瑞典Dufry集团、香港DFS集团等全球知名免税商业运营机构落位，加快全市免税购物网络的形成，构建产品丰富、全域布局的离岸旅游消费体系。围绕中央商务区海旅免税城和中服三亚国际免税购物公园，借助现有规模以上旅游消费企业，吸引运营商、物流、电子商务交易、支付、结售汇等旅游消费产业相关企业在区域内设立分部，形成辐射两洋的消费集聚区、国际旅游消费中心。</w:t>
      </w:r>
    </w:p>
    <w:tbl>
      <w:tblPr>
        <w:tblStyle w:val="32"/>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8" w:type="dxa"/>
          </w:tcPr>
          <w:p>
            <w:pPr>
              <w:pStyle w:val="79"/>
              <w:ind w:firstLine="0" w:firstLineChars="0"/>
              <w:jc w:val="center"/>
            </w:pPr>
            <w:r>
              <w:rPr>
                <w:rFonts w:hint="eastAsia"/>
              </w:rPr>
              <w:t>专栏1三亚市“十四五”期间旅文产业招商引资发展路径</w:t>
            </w:r>
          </w:p>
          <w:p>
            <w:pPr>
              <w:pStyle w:val="79"/>
              <w:ind w:firstLine="0" w:firstLineChars="0"/>
              <w:jc w:val="center"/>
            </w:pPr>
            <w:r>
              <w:rPr>
                <w:rFonts w:hint="eastAsia"/>
              </w:rPr>
              <w:t>——以游艇产业为例</w:t>
            </w:r>
          </w:p>
          <w:p>
            <w:pPr>
              <w:pStyle w:val="79"/>
              <w:ind w:firstLine="640"/>
            </w:pPr>
            <w:r>
              <w:rPr>
                <w:rFonts w:hint="eastAsia"/>
              </w:rPr>
              <w:t>（1）游艇产业发展基础</w:t>
            </w:r>
          </w:p>
          <w:p>
            <w:pPr>
              <w:pStyle w:val="79"/>
              <w:ind w:firstLine="640"/>
            </w:pPr>
            <w:r>
              <w:rPr>
                <w:rFonts w:hint="eastAsia"/>
              </w:rPr>
              <w:t>我国目前游艇产业规模大约在40亿元左右，市场规模整体偏小，整体来说中国游艇市场仍处在发展的初级阶段。全球发达国家平均每140人拥有1艘游艇，以此为标准我国游艇市场发展潜力巨大。国家近年对游艇产业给予了更多重视，上海、福建、浙江、广东等东部沿海省份已制定游艇产业的相关规划。海南省内目前已形成以三亚、海口为核心，涵盖全产业链的游艇产业格局。三亚已成为海南游艇产业最具代表性的城市。</w:t>
            </w:r>
          </w:p>
          <w:p>
            <w:pPr>
              <w:pStyle w:val="79"/>
              <w:ind w:firstLine="640"/>
            </w:pPr>
            <w:r>
              <w:rPr>
                <w:rFonts w:hint="eastAsia"/>
              </w:rPr>
              <w:t>（2）产业发展政策机遇</w:t>
            </w:r>
          </w:p>
          <w:p>
            <w:pPr>
              <w:pStyle w:val="79"/>
              <w:ind w:firstLine="640"/>
            </w:pPr>
            <w:r>
              <w:rPr>
                <w:rFonts w:hint="eastAsia"/>
              </w:rPr>
              <w:t>省级层面出台《海南省建设国际旅游消费中心的实施方案》、《中国（海南）自由贸易试验区琼港澳游艇自由行实施方案》和《海南自由贸易港投资新政三年行动方案（2021-2023年）》等，涵盖了经销商首次转让零关税游艇免国内增值税、二手进口游艇船龄放</w:t>
            </w:r>
            <w:r>
              <w:rPr>
                <w:rFonts w:hint="eastAsia"/>
                <w:lang w:val="en-US" w:eastAsia="zh-CN"/>
              </w:rPr>
              <w:t>宽</w:t>
            </w:r>
            <w:r>
              <w:rPr>
                <w:rFonts w:hint="eastAsia"/>
              </w:rPr>
              <w:t>、国产游艇销售自贸港退税、完善游艇租赁、强化金融支持等措施，进一步放宽游艇管制，并加大扶持力度，为三亚游艇产业快速发展提供良好环境。消费端方面，游艇进口关税减免等政策将带动游艇消费大众化趋势，增强游艇旅游的普及性。</w:t>
            </w:r>
          </w:p>
          <w:p>
            <w:pPr>
              <w:pStyle w:val="79"/>
              <w:ind w:firstLine="640"/>
            </w:pPr>
            <w:r>
              <w:rPr>
                <w:rFonts w:hint="eastAsia"/>
              </w:rPr>
              <w:t>（3）产业链目标环节</w:t>
            </w:r>
          </w:p>
          <w:p>
            <w:pPr>
              <w:pStyle w:val="79"/>
              <w:ind w:firstLine="640"/>
            </w:pPr>
            <w:r>
              <w:rPr>
                <w:rFonts w:hint="eastAsia"/>
              </w:rPr>
              <w:t>游艇产业是兼具劳动密集、技术密集、知识密集、资金密集的长链产业。三亚游艇经济发展可带动形成“游艇设计—游艇制造—游艇消费—游艇关联配套”产业链。建议围绕国际设计岛的发展目标，开展游艇设计研发等高附加值上游环节。围绕国际旅游消费中心建立契机，展开销售（代理）、维修检测、日常代管、游艇租赁、泊位租赁、二手交易评估、中介等消费链条打造。关联配套产业包括会展、赛事、媒体、旅游等方面。</w:t>
            </w:r>
          </w:p>
          <w:p>
            <w:pPr>
              <w:pStyle w:val="79"/>
              <w:ind w:firstLine="640"/>
            </w:pPr>
            <w:r>
              <w:rPr>
                <w:rFonts w:hint="eastAsia"/>
              </w:rPr>
              <w:t>（4）招商策略</w:t>
            </w:r>
          </w:p>
          <w:p>
            <w:pPr>
              <w:pStyle w:val="79"/>
              <w:ind w:firstLine="640"/>
            </w:pPr>
            <w:r>
              <w:rPr>
                <w:rFonts w:hint="eastAsia"/>
              </w:rPr>
              <w:t>以“1个发展目标，2个战略平台”</w:t>
            </w:r>
            <w:r>
              <w:rPr>
                <w:rFonts w:hint="eastAsia"/>
                <w:lang w:eastAsia="zh-CN"/>
              </w:rPr>
              <w:t>，</w:t>
            </w:r>
            <w:r>
              <w:rPr>
                <w:rFonts w:hint="eastAsia"/>
                <w:lang w:val="en-US" w:eastAsia="zh-CN"/>
              </w:rPr>
              <w:t>即</w:t>
            </w:r>
            <w:r>
              <w:rPr>
                <w:rFonts w:hint="eastAsia"/>
              </w:rPr>
              <w:t>打造世界知名的游艇消费中心和交易中心，到2025年初步将三亚建成亚太游艇之都</w:t>
            </w:r>
            <w:r>
              <w:rPr>
                <w:rFonts w:hint="eastAsia"/>
                <w:lang w:eastAsia="zh-CN"/>
              </w:rPr>
              <w:t>、</w:t>
            </w:r>
            <w:r>
              <w:rPr>
                <w:rFonts w:hint="eastAsia"/>
              </w:rPr>
              <w:t>游艇交易平台和产业创新发展联盟平台为战略目标开展招商。以游艇交易中心、南边海国际游艇码头、超级游艇保障基地为抓手，落位世界知名游艇销售、租赁、维修企业与码头管理等企业，发挥龙头企业带动效应，形成游艇相关企业聚集，夯实游艇产业发展基础。持续围绕海上旅游平台、凤凰岛游艇港和游艇设计研发中心，吸引设计研发品牌、赛事运营等企业。立足三亚“多港”布局，打造辐射亚太的游艇船供中心的目标，持续扩大游艇附件配套、游艇设计研发、游艇销售服务、游艇消费服务、会展赛事运营、水上运动装备等领域在内的优质企业集聚，进而形成全产业链企业规模化集聚。</w:t>
            </w:r>
          </w:p>
        </w:tc>
      </w:tr>
    </w:tbl>
    <w:p>
      <w:pPr>
        <w:pStyle w:val="102"/>
        <w:ind w:firstLine="643"/>
        <w:rPr>
          <w:rFonts w:hint="eastAsia" w:ascii="楷体_GB2312" w:hAnsi="楷体_GB2312" w:eastAsia="楷体_GB2312" w:cs="楷体_GB2312"/>
          <w:b w:val="0"/>
          <w:bCs/>
        </w:rPr>
      </w:pPr>
      <w:bookmarkStart w:id="47" w:name="_Toc75191024"/>
      <w:r>
        <w:rPr>
          <w:rFonts w:hint="eastAsia" w:ascii="楷体_GB2312" w:hAnsi="楷体_GB2312" w:eastAsia="楷体_GB2312" w:cs="楷体_GB2312"/>
          <w:b w:val="0"/>
          <w:bCs/>
        </w:rPr>
        <w:t>（二）推进自贸港特色现代服务业体系建设</w:t>
      </w:r>
      <w:bookmarkEnd w:id="47"/>
    </w:p>
    <w:p>
      <w:pPr>
        <w:pStyle w:val="79"/>
        <w:ind w:firstLine="640"/>
      </w:pPr>
      <w:r>
        <w:rPr>
          <w:rFonts w:hint="eastAsia"/>
        </w:rPr>
        <w:t>把握海南自由贸易港建设下现代服务业全球化开拓发展机遇，破除产业发展壁垒</w:t>
      </w:r>
      <w:r>
        <w:rPr>
          <w:rFonts w:hint="eastAsia"/>
          <w:lang w:eastAsia="zh-CN"/>
        </w:rPr>
        <w:t>、</w:t>
      </w:r>
      <w:r>
        <w:rPr>
          <w:rFonts w:hint="eastAsia"/>
        </w:rPr>
        <w:t>释放产业创新发展潜能</w:t>
      </w:r>
      <w:r>
        <w:rPr>
          <w:rFonts w:hint="eastAsia"/>
          <w:lang w:eastAsia="zh-CN"/>
        </w:rPr>
        <w:t>。</w:t>
      </w:r>
      <w:r>
        <w:rPr>
          <w:rFonts w:hint="eastAsia"/>
        </w:rPr>
        <w:t>依托中央商务区等，推动国际医疗健康</w:t>
      </w:r>
      <w:r>
        <w:rPr>
          <w:rFonts w:hint="eastAsia"/>
          <w:lang w:eastAsia="zh-CN"/>
        </w:rPr>
        <w:t>、</w:t>
      </w:r>
      <w:r>
        <w:rPr>
          <w:rFonts w:hint="eastAsia"/>
        </w:rPr>
        <w:t>国际教育品牌、现代金融、新型国际贸易、现代物流、商贸服务等现代服务业集聚发展，强化经济持续增长动能，打造海南自由贸易港现代服务业集聚区。以产业</w:t>
      </w:r>
      <w:r>
        <w:rPr>
          <w:rFonts w:hint="eastAsia"/>
          <w:lang w:val="en-US" w:eastAsia="zh-CN"/>
        </w:rPr>
        <w:t>发展</w:t>
      </w:r>
      <w:r>
        <w:rPr>
          <w:rFonts w:hint="eastAsia"/>
        </w:rPr>
        <w:t>为推手，扎实推进金融、教育、大健康、物流、商务服务等领域的发展，为企业创造更广阔的平台，推动产业转型升级，努力形成全面开放的新格局。</w:t>
      </w:r>
    </w:p>
    <w:p>
      <w:pPr>
        <w:pStyle w:val="104"/>
        <w:ind w:firstLine="643"/>
        <w:rPr>
          <w:rFonts w:hint="eastAsia"/>
          <w:b w:val="0"/>
          <w:bCs/>
        </w:rPr>
      </w:pPr>
      <w:r>
        <w:rPr>
          <w:rFonts w:hint="eastAsia"/>
          <w:b w:val="0"/>
          <w:bCs/>
        </w:rPr>
        <w:t>1.高标准布局大健康全产业链</w:t>
      </w:r>
    </w:p>
    <w:p>
      <w:pPr>
        <w:pStyle w:val="79"/>
        <w:ind w:firstLine="640"/>
      </w:pPr>
      <w:r>
        <w:rPr>
          <w:rFonts w:hint="eastAsia"/>
        </w:rPr>
        <w:t>《海南省健康产业发展规划（2019-2025）》提出，要将健康产业打造成为推进中国特色自由贸易港建设、实现更高水平全岛开放的先行产业。“十四五”期间，三亚将对标国际先进水平，发挥海棠湾国家海岸休闲园区和育才生态区等</w:t>
      </w:r>
      <w:r>
        <w:rPr>
          <w:rFonts w:hint="eastAsia"/>
          <w:lang w:val="en-US" w:eastAsia="zh-CN"/>
        </w:rPr>
        <w:t>园区</w:t>
      </w:r>
      <w:r>
        <w:rPr>
          <w:rFonts w:hint="eastAsia"/>
        </w:rPr>
        <w:t>的资源优势，做优做精医疗健康产业，聚焦健康消费领域。实现全面推动大健康与旅游消费深度融合</w:t>
      </w:r>
      <w:r>
        <w:rPr>
          <w:rFonts w:hint="eastAsia"/>
          <w:lang w:eastAsia="zh-CN"/>
        </w:rPr>
        <w:t>、</w:t>
      </w:r>
      <w:r>
        <w:rPr>
          <w:rFonts w:hint="eastAsia"/>
        </w:rPr>
        <w:t>创建国家健康旅游示范基地</w:t>
      </w:r>
      <w:r>
        <w:rPr>
          <w:rFonts w:hint="eastAsia"/>
          <w:lang w:eastAsia="zh-CN"/>
        </w:rPr>
        <w:t>、</w:t>
      </w:r>
      <w:r>
        <w:rPr>
          <w:rFonts w:hint="eastAsia"/>
        </w:rPr>
        <w:t>打造国际医学港的发展目标。</w:t>
      </w:r>
    </w:p>
    <w:p>
      <w:pPr>
        <w:pStyle w:val="79"/>
        <w:ind w:firstLine="640"/>
      </w:pPr>
      <w:r>
        <w:rPr>
          <w:rFonts w:hint="eastAsia"/>
        </w:rPr>
        <w:t>（1）加快形成消费医疗服务客群全生命周期产业链</w:t>
      </w:r>
    </w:p>
    <w:p>
      <w:pPr>
        <w:pStyle w:val="79"/>
        <w:ind w:firstLine="640"/>
      </w:pPr>
      <w:r>
        <w:rPr>
          <w:rFonts w:hint="eastAsia"/>
        </w:rPr>
        <w:t>加速形成高端健康管理产业链。聚焦旅游客群的主动健康服务，在消费医疗前端的健康管理方面，探索人工智能技术应用下的智能诊疗和智能健康管理的应用</w:t>
      </w:r>
      <w:r>
        <w:rPr>
          <w:rFonts w:hint="eastAsia"/>
          <w:lang w:eastAsia="zh-CN"/>
        </w:rPr>
        <w:t>。</w:t>
      </w:r>
      <w:r>
        <w:rPr>
          <w:rFonts w:hint="eastAsia"/>
        </w:rPr>
        <w:t>积极引入国际化私人医生服务机构、高端健康管理、高端体检机构，通过对接产业链上下游等方式引入高端健康管理产业</w:t>
      </w:r>
      <w:r>
        <w:rPr>
          <w:rFonts w:hint="eastAsia"/>
          <w:lang w:eastAsia="zh-CN"/>
        </w:rPr>
        <w:t>。</w:t>
      </w:r>
      <w:r>
        <w:rPr>
          <w:rFonts w:hint="eastAsia"/>
        </w:rPr>
        <w:t>以覆盖目标客群全生命周期为目标，在基础体检以外拓展健康干预等多元化高端健康管理</w:t>
      </w:r>
      <w:r>
        <w:rPr>
          <w:rFonts w:hint="eastAsia"/>
          <w:lang w:val="en-US" w:eastAsia="zh-CN"/>
        </w:rPr>
        <w:t>业务。</w:t>
      </w:r>
      <w:r>
        <w:rPr>
          <w:rFonts w:hint="eastAsia"/>
        </w:rPr>
        <w:t>依托海棠湾医疗康养产业基础和庞大客群优势，拓展布局专业健康评估及预防医学服务。</w:t>
      </w:r>
    </w:p>
    <w:p>
      <w:pPr>
        <w:pStyle w:val="79"/>
        <w:ind w:firstLine="640"/>
      </w:pPr>
      <w:r>
        <w:rPr>
          <w:rFonts w:hint="eastAsia"/>
        </w:rPr>
        <w:t>大力培育发展高端医美产业。积极引入一批符合自贸港建设要求的全球领先医美抗衰机构落地。深入研究国务院发布的《关于支持海南自由贸易港建设放宽市场准入若干特别措施的意见》，加强与博鳌乐城先行区联动合作，共同培育发展高端医美产业</w:t>
      </w:r>
      <w:r>
        <w:rPr>
          <w:rFonts w:hint="eastAsia"/>
          <w:lang w:eastAsia="zh-CN"/>
        </w:rPr>
        <w:t>。</w:t>
      </w:r>
      <w:r>
        <w:rPr>
          <w:rFonts w:hint="eastAsia"/>
        </w:rPr>
        <w:t>积极与奥园美谷、华熙生物等领先医美科技企业对接，形成两地产业链上下游对接。深化与朗姿股份等上市医疗企业合作，依托海棠湾医疗服务板块优势，推动发展三亚医疗美容旅游，创新打造三亚国际医美抗衰度假区。鼓励医疗科技企业与医美服务企业合作，通过共同成立股权基金、合资等方式，推进创新型医美项目、高端医美机构建成落地。通过设立医美产业基金等，加速本地医美行业向高端型、科技型转型。</w:t>
      </w:r>
    </w:p>
    <w:p>
      <w:pPr>
        <w:pStyle w:val="79"/>
        <w:ind w:firstLine="640"/>
      </w:pPr>
      <w:r>
        <w:rPr>
          <w:rFonts w:hint="eastAsia"/>
        </w:rPr>
        <w:t>拓展布局消费医疗后端</w:t>
      </w:r>
      <w:r>
        <w:rPr>
          <w:rFonts w:hint="eastAsia"/>
          <w:lang w:val="en-US" w:eastAsia="zh-CN"/>
        </w:rPr>
        <w:t>的</w:t>
      </w:r>
      <w:r>
        <w:rPr>
          <w:rFonts w:hint="eastAsia"/>
        </w:rPr>
        <w:t>高端康养产业。对接国际先进机构，布局旅居业态高端康养产业集群。引进包括高端康复机构、高端妇儿医院、高端月子中心等</w:t>
      </w:r>
      <w:r>
        <w:rPr>
          <w:rFonts w:hint="eastAsia"/>
          <w:lang w:eastAsia="zh-CN"/>
        </w:rPr>
        <w:t>。</w:t>
      </w:r>
      <w:r>
        <w:rPr>
          <w:rFonts w:hint="eastAsia"/>
        </w:rPr>
        <w:t>加快推进海棠湾现代服务业产业园康复板块重点项目建设落位，带动三亚育才生态区健康产业发展</w:t>
      </w:r>
      <w:r>
        <w:rPr>
          <w:rFonts w:hint="eastAsia"/>
          <w:lang w:eastAsia="zh-CN"/>
        </w:rPr>
        <w:t>。</w:t>
      </w:r>
      <w:r>
        <w:rPr>
          <w:rFonts w:hint="eastAsia"/>
        </w:rPr>
        <w:t>打造专业康复基地，拓展布局消费医疗后端的高端康养细分产业，形成消费医疗全链条资源集聚，推动健康服务与旅游消费深度融合，创建国家健康旅游示范基地。</w:t>
      </w:r>
    </w:p>
    <w:p>
      <w:pPr>
        <w:pStyle w:val="79"/>
        <w:ind w:firstLine="640"/>
      </w:pPr>
      <w:r>
        <w:rPr>
          <w:rFonts w:hint="eastAsia"/>
        </w:rPr>
        <w:t>（2）引入以干细胞治疗为首的尖端科技引领精准医疗产业</w:t>
      </w:r>
    </w:p>
    <w:p>
      <w:pPr>
        <w:pStyle w:val="79"/>
        <w:ind w:firstLine="640"/>
      </w:pPr>
      <w:r>
        <w:rPr>
          <w:rFonts w:hint="eastAsia"/>
        </w:rPr>
        <w:t>引进干细胞治疗尖端科技产业。对接引进包括中源协和、乐金健康、汉氏联合在内精准医疗上市企业以及国际顶级医药研发、医疗服务机构</w:t>
      </w:r>
      <w:r>
        <w:rPr>
          <w:rFonts w:hint="eastAsia"/>
          <w:lang w:eastAsia="zh-CN"/>
        </w:rPr>
        <w:t>。</w:t>
      </w:r>
      <w:r>
        <w:rPr>
          <w:rFonts w:hint="eastAsia"/>
        </w:rPr>
        <w:t>招引一批掌握干细胞治疗技术的企业、研究机构及服务机构落地。针对包括白血病、脑卒中、帕金森式综合征、阿尔茨海默病、肿瘤、糖尿病等重大疾病，依托大三亚医疗服务创新平台，培育和打造精准医疗产业链。</w:t>
      </w:r>
    </w:p>
    <w:p>
      <w:pPr>
        <w:pStyle w:val="79"/>
        <w:ind w:firstLine="640"/>
      </w:pPr>
      <w:r>
        <w:rPr>
          <w:rFonts w:hint="eastAsia"/>
        </w:rPr>
        <w:t>打造生命保育产业链。引入生命保育药物、检验试剂供应商、辅助生育技术领先企业、保育服务机构、保育医疗机构及专科医疗团队。通过引进辅助生育技术领先企业、龙头企业及服务机构、医疗机构，孕育尖端保育技术，吸引全产业链集聚，形成生命保育全生命周期产业链布局，打造大健康产业内循环。</w:t>
      </w:r>
    </w:p>
    <w:p>
      <w:pPr>
        <w:pStyle w:val="79"/>
        <w:ind w:firstLine="640"/>
      </w:pPr>
      <w:r>
        <w:rPr>
          <w:rFonts w:hint="eastAsia"/>
        </w:rPr>
        <w:t>（3）高质量布局特色中医药全产业链发展</w:t>
      </w:r>
    </w:p>
    <w:p>
      <w:pPr>
        <w:pStyle w:val="79"/>
        <w:ind w:firstLine="640"/>
      </w:pPr>
      <w:r>
        <w:rPr>
          <w:rFonts w:hint="eastAsia"/>
        </w:rPr>
        <w:t>高质量布局南药</w:t>
      </w:r>
      <w:r>
        <w:rPr>
          <w:rFonts w:hint="eastAsia"/>
          <w:lang w:eastAsia="zh-CN"/>
        </w:rPr>
        <w:t>、</w:t>
      </w:r>
      <w:r>
        <w:rPr>
          <w:rFonts w:hint="eastAsia"/>
        </w:rPr>
        <w:t>黎药为特色的中医药全产业链。引入中医药龙头企业、中医药原材料生产及加工企业、中医药研发机构。依托南药黎药产业园、国际中医健康服务贸易示范基地等区域全产业链资源聚合优势，高质量打造三亚特色中医药品牌，促进国际开放交流，提高品牌知名度。提升中医药健康服务体系，大力发展中医药健康服务贸易，高标准打造国际化中医药健康旅游示范区。</w:t>
      </w:r>
    </w:p>
    <w:p>
      <w:pPr>
        <w:pStyle w:val="104"/>
        <w:ind w:firstLine="643"/>
        <w:rPr>
          <w:rFonts w:hint="eastAsia"/>
          <w:b w:val="0"/>
          <w:bCs/>
        </w:rPr>
      </w:pPr>
      <w:r>
        <w:rPr>
          <w:rFonts w:hint="eastAsia"/>
          <w:b w:val="0"/>
          <w:bCs/>
        </w:rPr>
        <w:t>2.打造国际教育创新引领区</w:t>
      </w:r>
    </w:p>
    <w:p>
      <w:pPr>
        <w:pStyle w:val="79"/>
        <w:ind w:firstLine="640"/>
      </w:pPr>
      <w:r>
        <w:rPr>
          <w:rFonts w:hint="eastAsia"/>
        </w:rPr>
        <w:t>以“顶级科研型高校机构集聚”、“国际教育开放创新”与“产业教育核心引领”为核心，推动三亚的教育产业蓬勃发展。依托《海南自由贸易港建设总体方案》和《中共中央国务院关于支持海南全面深化改革开放的指导意见》的政策支持，积极引进国内外一流高校、研究所，汇集顶级高校科研资源，推进产学研用一体化发展。招揽欧美发达国家顶尖教育机构开展中外合作办学，打造国际教育创新岛引领区。面向旅游业、现代服务业、农业等重点领域，引入国内外优质职业教育资源，打造全球顶级产业教育高地。积极探索智慧教育发展，引入人工智能等技术驱动的教育企业。以国际教育创新岛建设为引领，大力发展全年龄段国际教育服务，抓住每年70万中国人国外留学的市场机遇，积极吸引国际教育求学回流。</w:t>
      </w:r>
    </w:p>
    <w:p>
      <w:pPr>
        <w:pStyle w:val="79"/>
        <w:ind w:firstLine="640"/>
      </w:pPr>
      <w:r>
        <w:rPr>
          <w:rFonts w:hint="eastAsia"/>
        </w:rPr>
        <w:t>（1）加速布局高等教育</w:t>
      </w:r>
    </w:p>
    <w:p>
      <w:pPr>
        <w:pStyle w:val="79"/>
        <w:ind w:firstLine="640"/>
      </w:pPr>
      <w:r>
        <w:rPr>
          <w:rFonts w:hint="eastAsia"/>
        </w:rPr>
        <w:t>围绕深海、农业、数字科技等重点发展领域，依托以校招校、精准招校的招商模式，持续引进国内外一流高校和研究院。对内复制、推广与上海交通大学、武汉理工大学等院校的合作模式，积极对接浙江大学海洋研究院、上海海洋大学、浙江大学农业与生物技术学院等海洋与农业相关学院与院校。对外积极引进华盛顿大学、新加坡国立大学、新加坡南洋理工大学、荷兰瓦赫宁根大学、以色列希伯来大学农学院等在重点发展领域拥有先进技术和研究实力的高校。</w:t>
      </w:r>
    </w:p>
    <w:p>
      <w:pPr>
        <w:pStyle w:val="79"/>
        <w:ind w:firstLine="640"/>
      </w:pPr>
      <w:r>
        <w:rPr>
          <w:rFonts w:hint="eastAsia"/>
        </w:rPr>
        <w:t>（2）全面引进高端商务培训</w:t>
      </w:r>
    </w:p>
    <w:p>
      <w:pPr>
        <w:pStyle w:val="79"/>
        <w:ind w:firstLine="640"/>
      </w:pPr>
      <w:r>
        <w:rPr>
          <w:rFonts w:hint="eastAsia"/>
        </w:rPr>
        <w:t>聚焦旅游、农业等重点产业，积极引进国内外先进酒店管理学院、旅游管理学院、健康管理学院等院校与本地院校开展合作，打造包括国际酒店管理、旅游管理、应用外语、种业科技、高效农业等方面的全球顶级产业教育学科</w:t>
      </w:r>
      <w:r>
        <w:rPr>
          <w:rFonts w:hint="eastAsia"/>
          <w:lang w:eastAsia="zh-CN"/>
        </w:rPr>
        <w:t>。</w:t>
      </w:r>
      <w:r>
        <w:rPr>
          <w:rFonts w:hint="eastAsia"/>
        </w:rPr>
        <w:t>招引高星级酒店、国际旅行社、农垦集团、隆平高科等企业，探索定向委培、现代学徒制、订单班等校企合作模式创新，深化农旅校企合作。引入高端商务培训机构，深化与普华永道等已入驻企业合作，建成辐射亚太、服务全球的国际化创新试验示范基地，进一步提升三亚在科技创新、人才培养、企业服务以及产业布局等方面的专业化、国际化水平。</w:t>
      </w:r>
    </w:p>
    <w:p>
      <w:pPr>
        <w:pStyle w:val="79"/>
        <w:ind w:firstLine="640"/>
      </w:pPr>
      <w:r>
        <w:rPr>
          <w:rFonts w:hint="eastAsia"/>
        </w:rPr>
        <w:t>（3）加速发展国际化办学</w:t>
      </w:r>
    </w:p>
    <w:p>
      <w:pPr>
        <w:pStyle w:val="79"/>
        <w:ind w:firstLine="640"/>
      </w:pPr>
      <w:r>
        <w:rPr>
          <w:rFonts w:hint="eastAsia"/>
        </w:rPr>
        <w:t>在中外合作办学方面，积极推动美国卫斯理安学院等外资办学项目的落地，同时逐步引进更多国外知名教育机构开展合作办学，设立中外合作幼儿园、中学、大学和职业培训机构。在外资独资办学方面，持续引进顶级外资基础教育机构，试点幼儿园和中学的外资独资办学，并探索引入境外工科大学和职业院校开展独资办学，提升教育国际化水平。</w:t>
      </w:r>
    </w:p>
    <w:p>
      <w:pPr>
        <w:pStyle w:val="104"/>
        <w:ind w:firstLine="643"/>
        <w:rPr>
          <w:rFonts w:hint="eastAsia"/>
          <w:b w:val="0"/>
          <w:bCs/>
        </w:rPr>
      </w:pPr>
      <w:r>
        <w:rPr>
          <w:rFonts w:hint="eastAsia"/>
          <w:b w:val="0"/>
          <w:bCs/>
        </w:rPr>
        <w:t>3.促进金融支持实体经济发展</w:t>
      </w:r>
    </w:p>
    <w:p>
      <w:pPr>
        <w:pStyle w:val="79"/>
        <w:ind w:firstLine="640"/>
      </w:pPr>
      <w:r>
        <w:rPr>
          <w:rFonts w:hint="eastAsia"/>
        </w:rPr>
        <w:t>三亚市现代金融业已形成一定集聚效应，吸引了真格、红杉等知名私募股权金融机构，对外开放成果突出，产业特色鲜明。下一</w:t>
      </w:r>
      <w:r>
        <w:rPr>
          <w:rFonts w:hint="eastAsia"/>
          <w:lang w:val="en-US" w:eastAsia="zh-CN"/>
        </w:rPr>
        <w:t>步</w:t>
      </w:r>
      <w:r>
        <w:rPr>
          <w:rFonts w:hint="eastAsia"/>
        </w:rPr>
        <w:t>重点围绕释放海南自贸港政策下金融自由开放的潜能，打造自贸港金融产业集聚中心。积极引进“大资管”金融机构、国内外保险机构、交易中心与交易平台、金融科技公司，发展以REITs、QDLP、QFLP为核心特色金融业。围绕重点产业发展方向，立足实际发展需求，引入目标金融机构，创新服务企业融资需求，全力打造三亚特色的金融服务实体经济协调发展模式。依托便利的跨境支付与资金转移制度，探索实现跨境金融、离岸金融创新业务，吸引境外资金进入三亚市场投资，全面促进金融业发展。借助地区高端酒店布局，打造三亚国际财经金融会议中心品牌。</w:t>
      </w:r>
    </w:p>
    <w:p>
      <w:pPr>
        <w:pStyle w:val="79"/>
        <w:ind w:firstLine="640"/>
      </w:pPr>
      <w:r>
        <w:rPr>
          <w:rFonts w:hint="eastAsia"/>
        </w:rPr>
        <w:t>目标2025年，基本形成结构合理、功能完善的现代金融体系，金融产业规模迈上新台阶，为推动三亚实体经济高质量发展，形成金融蓄水池和发动机。</w:t>
      </w:r>
    </w:p>
    <w:p>
      <w:pPr>
        <w:pStyle w:val="79"/>
        <w:ind w:firstLine="640"/>
      </w:pPr>
      <w:r>
        <w:rPr>
          <w:rFonts w:hint="eastAsia"/>
        </w:rPr>
        <w:t>（1）引入“大资管”金融机构，创新金融产品与服务</w:t>
      </w:r>
    </w:p>
    <w:p>
      <w:pPr>
        <w:pStyle w:val="79"/>
        <w:ind w:firstLine="640"/>
      </w:pPr>
      <w:r>
        <w:rPr>
          <w:rFonts w:hint="eastAsia"/>
        </w:rPr>
        <w:t>引入券商、基金、资管、私募、信托等REITs发行主导机构。依托三亚城投集团公租房REITs项目的成功经验，引入具有经验的REITs发行主导机构，对符合要求的企业进行发行培育和辅导，积极设立园区基础设施建设公募REITs产品。同时探索发展发行类REITs产品，扩大园区配套基础设施建设融资渠道。</w:t>
      </w:r>
    </w:p>
    <w:p>
      <w:pPr>
        <w:pStyle w:val="79"/>
        <w:ind w:firstLine="640"/>
      </w:pPr>
      <w:r>
        <w:rPr>
          <w:rFonts w:hint="eastAsia"/>
        </w:rPr>
        <w:t>引入QDLP试点基金管理企业。积极对接引入首批试点企业名单的试点基金管理企业，发起设立试点基金并开展境外投资的离岸金融创新业务。引入具有QDLP基金运营实力，但暂未纳入首批试点企业名单的金融机构，未来进一步按照QDLP政策要求，向省金融监管局为主导的外汇管理、市场监管、证券监管等单位申请开展试点。承借海南省关于QDLP的最新政策，通过引入的试点基金管理企业，在三亚大力发展QDLP业务，向境内合格投资者募集资金，设立试点基金投资于境外一级、二级市场。</w:t>
      </w:r>
    </w:p>
    <w:p>
      <w:pPr>
        <w:pStyle w:val="79"/>
        <w:ind w:firstLine="640"/>
      </w:pPr>
      <w:r>
        <w:rPr>
          <w:rFonts w:hint="eastAsia"/>
        </w:rPr>
        <w:t>引入QFLP管理企业（外商投资股权投资管理企业）。积极对接引入外商投资股权投资类企业，发起设立QFLP基金，鼓励外资股权投资市场发展。借鉴QFLP在三亚中央商务区的成功经验，承接海南省关于QFLP的最新政策、外商投资企业管理办法以及外汇登记办理程序，吸引高质量、大规模的外商投资股权投资管理企业落户三亚，大力发展三亚QFLP离岸金融创新业务。</w:t>
      </w:r>
    </w:p>
    <w:p>
      <w:pPr>
        <w:pStyle w:val="79"/>
        <w:ind w:firstLine="640"/>
      </w:pPr>
      <w:r>
        <w:rPr>
          <w:rFonts w:hint="eastAsia"/>
        </w:rPr>
        <w:t>（2）引进国内外保险机构，推动保险机构聚集</w:t>
      </w:r>
      <w:r>
        <w:t xml:space="preserve"> </w:t>
      </w:r>
    </w:p>
    <w:p>
      <w:pPr>
        <w:pStyle w:val="79"/>
        <w:ind w:firstLine="640"/>
      </w:pPr>
      <w:r>
        <w:rPr>
          <w:rFonts w:hint="eastAsia"/>
        </w:rPr>
        <w:t>紧抓建设海南自贸港机遇，充分利用人民银行、银保监会等四部委《关于金融支持海南全面深化改革开放的指导意见》中保险支持政策，充分发挥三亚发展医疗康养和休闲旅游产业的天然优势，鼓励国内外保险机构以“总部中心+医疗康养”的模式在三亚集聚发展。增强保险机构招引力度，扶持新设互联网保险机构及保险机构子公司、总部业务落位。招引并支持保险机构在三亚落地保险资产管理公司，向境外发行人民币计价的资产管理产品。</w:t>
      </w:r>
    </w:p>
    <w:p>
      <w:pPr>
        <w:pStyle w:val="79"/>
        <w:ind w:firstLine="640"/>
      </w:pPr>
      <w:r>
        <w:rPr>
          <w:rFonts w:hint="eastAsia"/>
        </w:rPr>
        <w:t>（3）引进各类交易中心和市场主体，兴建交易场所</w:t>
      </w:r>
    </w:p>
    <w:p>
      <w:pPr>
        <w:pStyle w:val="79"/>
        <w:ind w:firstLine="640"/>
      </w:pPr>
      <w:r>
        <w:rPr>
          <w:rFonts w:hint="eastAsia"/>
        </w:rPr>
        <w:t>充分利用三亚区位优势和配套政策推进各类交易场所建设，优先引入航权、产权、股权等各类相关机构共同建设交易场所及相关金融生态</w:t>
      </w:r>
      <w:r>
        <w:rPr>
          <w:rFonts w:hint="eastAsia"/>
          <w:lang w:eastAsia="zh-CN"/>
        </w:rPr>
        <w:t>。</w:t>
      </w:r>
      <w:r>
        <w:rPr>
          <w:rFonts w:hint="eastAsia"/>
        </w:rPr>
        <w:t>研究场内与场外等多种交易形态，形成多层次交易场所体系。以三亚国际交易集团为交易主体，推进收购、重组或引进海南国际商品交易中心。</w:t>
      </w:r>
    </w:p>
    <w:p>
      <w:pPr>
        <w:pStyle w:val="79"/>
        <w:ind w:firstLine="640"/>
      </w:pPr>
      <w:r>
        <w:rPr>
          <w:rFonts w:hint="eastAsia"/>
        </w:rPr>
        <w:t>引入以天然橡胶产业为主的市场主体，共同建设国际热带农产品交易中心、定价中心、价格指数发布中心和农产品拍卖交易中心。在交易中心的基础上向期货、期权、证券等领域延伸，打造资本中心和风险管理中心。</w:t>
      </w:r>
    </w:p>
    <w:p>
      <w:pPr>
        <w:pStyle w:val="79"/>
        <w:ind w:firstLine="640"/>
      </w:pPr>
      <w:r>
        <w:rPr>
          <w:rFonts w:hint="eastAsia"/>
        </w:rPr>
        <w:t>（</w:t>
      </w:r>
      <w:r>
        <w:t>4</w:t>
      </w:r>
      <w:r>
        <w:rPr>
          <w:rFonts w:hint="eastAsia"/>
        </w:rPr>
        <w:t>）引进金融科技公司，创新发展科技金融</w:t>
      </w:r>
    </w:p>
    <w:p>
      <w:pPr>
        <w:pStyle w:val="79"/>
        <w:ind w:firstLine="640"/>
      </w:pPr>
      <w:r>
        <w:rPr>
          <w:rFonts w:hint="eastAsia"/>
        </w:rPr>
        <w:t>引入并发展科技贷款业务。围绕中央商务区、亚太金融小镇等重点金融发展区域，引入商业银行科技支行，聚焦创新型科技企业、专营科技型企业金融业务</w:t>
      </w:r>
      <w:r>
        <w:rPr>
          <w:rFonts w:hint="eastAsia"/>
          <w:lang w:eastAsia="zh-CN"/>
        </w:rPr>
        <w:t>。</w:t>
      </w:r>
      <w:r>
        <w:rPr>
          <w:rFonts w:hint="eastAsia"/>
        </w:rPr>
        <w:t>开发“研发贷”、“孵化贷”、“知识产权贷”、“成果中试贷”等科技金融贷款产品，强化对各类型和各发展阶段的科技成长型企业的金融支撑。引入金融科技平台公司，开发符合企业客户需求的科技金融服务平台，提供线上贷款功能，发挥普惠金融作用，解决小微企业融资难的问题。引入以政府牵头、市场主体合作的政策性科技担保公司，提供增信担保服务。</w:t>
      </w:r>
    </w:p>
    <w:p>
      <w:pPr>
        <w:pStyle w:val="79"/>
        <w:ind w:firstLine="640"/>
      </w:pPr>
      <w:r>
        <w:rPr>
          <w:rFonts w:hint="eastAsia"/>
        </w:rPr>
        <w:t>引入金融科技初创公司。通过海南自贸港更具竞争力的政策、金融科技产业基金、“一事一议”等方式，招引具有运营基础的目标金融科技初创公司落地中央商务区、亚太金融小镇等重点金融发展区域。通过探索全球领先的“监管沙盒”模式，逐步放宽监管要求，支持具有潜力的初创公司在沙盒内探索测试创新金融产品、服务、商业模式和营销方式，进一步促进三亚金融科技的创新发展。</w:t>
      </w:r>
    </w:p>
    <w:p>
      <w:pPr>
        <w:pStyle w:val="79"/>
        <w:ind w:firstLine="640"/>
      </w:pPr>
      <w:r>
        <w:rPr>
          <w:rFonts w:hint="eastAsia"/>
        </w:rPr>
        <w:t>（5）引进国际品牌金融会议，打造金融会议中心</w:t>
      </w:r>
    </w:p>
    <w:p>
      <w:pPr>
        <w:pStyle w:val="79"/>
        <w:ind w:firstLine="640"/>
      </w:pPr>
      <w:r>
        <w:rPr>
          <w:rFonts w:hint="eastAsia"/>
        </w:rPr>
        <w:t>打造自主品牌金融会议，引进国际品牌金融会议。举办自贸港金融博览会，策划一批具有三亚自主品牌的金融会议。加强会议品牌推广，扩大金融行业会议规模。加强与国内外金融机构常态化合作，积极引导和支持各类金融机构及行业组织在三亚开展行业交流活动，举办研究策略会、培训会、行业会议、年会、论坛等各类会议。积极争取与博鳌亚洲论坛合作，在三亚召开金融分会场会议或专题会议。加强与媒体合作，提升三亚国际财经论坛的实效和影响力。积极引进会议组织机构，提升大型金融会议的承办能力和国际影响力。</w:t>
      </w:r>
    </w:p>
    <w:p>
      <w:pPr>
        <w:pStyle w:val="104"/>
        <w:ind w:firstLine="643"/>
        <w:rPr>
          <w:rFonts w:hint="eastAsia"/>
          <w:b w:val="0"/>
          <w:bCs/>
        </w:rPr>
      </w:pPr>
      <w:r>
        <w:rPr>
          <w:rFonts w:hint="eastAsia"/>
          <w:b w:val="0"/>
          <w:bCs/>
        </w:rPr>
        <w:t>4.探索新型国际贸易多元业态布局</w:t>
      </w:r>
    </w:p>
    <w:p>
      <w:pPr>
        <w:pStyle w:val="79"/>
        <w:ind w:firstLine="640"/>
      </w:pPr>
      <w:r>
        <w:rPr>
          <w:rFonts w:hint="eastAsia"/>
        </w:rPr>
        <w:t>依托自贸港跨境贸易投资资金流动便利化政策、跨境服务贸易负面清单等利好条件，聚焦引进优质项目、优质企业，探索产业链供应链价值链上下游招商</w:t>
      </w:r>
      <w:r>
        <w:rPr>
          <w:rFonts w:hint="eastAsia"/>
          <w:lang w:eastAsia="zh-CN"/>
        </w:rPr>
        <w:t>。</w:t>
      </w:r>
      <w:r>
        <w:rPr>
          <w:rFonts w:hint="eastAsia"/>
        </w:rPr>
        <w:t>推动新型离岸贸易、服务贸易、跨境电商等新型国际贸易业态多元化、特色化布局，助力三亚融入新型国际贸易区域和全球网络。</w:t>
      </w:r>
    </w:p>
    <w:p>
      <w:pPr>
        <w:pStyle w:val="79"/>
        <w:ind w:firstLine="640"/>
      </w:pPr>
      <w:r>
        <w:rPr>
          <w:rFonts w:hint="eastAsia"/>
        </w:rPr>
        <w:t>（1）发展新型离岸国际贸易，培育贸易新业态</w:t>
      </w:r>
    </w:p>
    <w:p>
      <w:pPr>
        <w:pStyle w:val="79"/>
        <w:ind w:firstLine="640"/>
      </w:pPr>
      <w:r>
        <w:rPr>
          <w:rFonts w:hint="eastAsia"/>
        </w:rPr>
        <w:t>引入白名单企业及贸易上下游企业，发展新型离岸国际贸易结算、运营、采购、销售项目。一是以离岸贸易结算回流作为首要抓手，通过落实自贸港离岸新型国际贸易业务所得税优惠政策，探索对标洋浦“十条举措”,引入与境外贸易往来较密切的、具有跨境资金结算需求的央企、国企、制造型民企，以及品牌价值高、具备全球范围内配置生产资源能力的世界500强跨国企业。二是引进具有跨境资金结算先进经验的境内外知名银行、金融机构来三亚设立分支机构、经营网点，开展新型离岸国际贸易收付汇业务。三是利用国内外贸易协会及博鳌亚洲论坛等平台资源，引入大型、超大型国际贸易企业，探索最大限度便利企业打通国内国外资本品、中间品集成销售渠道。四是围绕新型离岸贸易上下游产业链，吸引北京、上海、广州、深圳等城市的贸易代理、设计研发、仓储物流、保险服务、贸易融资、外汇避险等新型国际贸易龙头机构进驻三亚。五是在此基础上，前瞻布局境外直接转卖、“走出去”企业境外工程、离岸维修或船供、面向东南亚制造业发展的资源调配、航运公司转口业务、跨国企业财务共享中心等离岸贸易模式。</w:t>
      </w:r>
    </w:p>
    <w:p>
      <w:pPr>
        <w:pStyle w:val="79"/>
        <w:ind w:firstLine="640"/>
      </w:pPr>
      <w:r>
        <w:rPr>
          <w:rFonts w:hint="eastAsia"/>
        </w:rPr>
        <w:t>（2）集聚高端化、现代化、数字化服务贸易提供商。</w:t>
      </w:r>
    </w:p>
    <w:p>
      <w:pPr>
        <w:pStyle w:val="79"/>
        <w:ind w:firstLine="640"/>
      </w:pPr>
      <w:r>
        <w:rPr>
          <w:rFonts w:hint="eastAsia"/>
        </w:rPr>
        <w:t>一是集聚空港特色服务贸易优质项目。在临空临港地区，引入航空服务、维修服务、检测服务、国际物流配送等项目。二是引进高端国际服务消费企业。围绕国际医疗、教育、旅游服务，引入面向境内外游客及病患来琼消费就医的服务提供商。发挥三亚作为“国家首批健康旅游示范基地”、“海南省中医药健康旅游和服务贸易示范基地”的优势，创新引进“旅行社+疗养”的中医药服务模式在境外成立中医诊疗中心项目。三是拓展数字化跨境服务外包生态。面向RCEP和一带一路市场，引入一批远程教育培训、跨境呼叫中心、增值电信服务商、国际设计服务外包、国际研发设计服务企业。四是吸引具有境外执业能力的专业团队。率先引进具有港澳执业资格的金融、建筑、规划、专利代理等服务领域专业人才和团队。</w:t>
      </w:r>
    </w:p>
    <w:p>
      <w:pPr>
        <w:pStyle w:val="79"/>
        <w:ind w:firstLine="640"/>
      </w:pPr>
      <w:r>
        <w:rPr>
          <w:rFonts w:hint="eastAsia"/>
        </w:rPr>
        <w:t>（3）做大做强跨境电商生态圈</w:t>
      </w:r>
    </w:p>
    <w:p>
      <w:pPr>
        <w:pStyle w:val="79"/>
        <w:ind w:firstLine="640"/>
      </w:pPr>
      <w:r>
        <w:rPr>
          <w:rFonts w:hint="eastAsia"/>
        </w:rPr>
        <w:t>引入跨境电商平台型服务型企业和生产性企业，打造面向RCEP市场和海上丝绸之路沿线国家的跨境电子商务服务中心和区域总部基地。平台型服务型企业方面，大力吸引谷歌、Wish、PingPong、连连支付等国际知名跨境电商平台，在三亚电商综试区设立跨境电子商务区域性总部。卖家型生产性企业方面，引入海康威视、巨星科技等跨境电商销售额超千万美元的头部企业。服务配套方面，引入跨境数字化国际营销、电商运营培训、直播等优质服务商入驻，完善跨境电子商务服务产业链。平台建设方面，健全跨境电商物流领域园区软硬件配套。依托三亚保税物流中心（B型）等海关特殊监管区域及中国（三亚）跨境电子商务综合试验区建设，吸引一批专业物流运营商、跨境电商仓配企业入驻，实现电商物流降本增效。</w:t>
      </w:r>
    </w:p>
    <w:p>
      <w:pPr>
        <w:pStyle w:val="104"/>
        <w:ind w:firstLine="643"/>
        <w:rPr>
          <w:rFonts w:hint="eastAsia"/>
          <w:b w:val="0"/>
          <w:bCs/>
        </w:rPr>
      </w:pPr>
      <w:r>
        <w:rPr>
          <w:rFonts w:hint="eastAsia"/>
          <w:b w:val="0"/>
          <w:bCs/>
        </w:rPr>
        <w:t>5.推动完善综合物流体系</w:t>
      </w:r>
    </w:p>
    <w:p>
      <w:pPr>
        <w:pStyle w:val="79"/>
        <w:ind w:firstLine="640"/>
      </w:pPr>
      <w:r>
        <w:rPr>
          <w:rFonts w:hint="eastAsia"/>
        </w:rPr>
        <w:t>以南山港物流片区、三亚凤凰国际机场物流片区为核心，以临空产业园、三亚凤凰机场保税物流中心、跨境电商物流产业园为重点项目，以三亚保税物流中心（B型）为重点海关特殊监管区域，大力发展临空临港经济。引入国际物流、国际贸易、城市配送、冷链物流、高端制造等企业，着力发展保税仓储、国际物流、城市配套物流等业务，推动跨境贸易与城市生活配套协调发展，打造集散、拼装、中转、加工、仓储、商务等各种物流功能为一体的国际化区域综合物流中心，形成琼南地区仓储、集散、运输、配送中心。</w:t>
      </w:r>
    </w:p>
    <w:p>
      <w:pPr>
        <w:pStyle w:val="79"/>
        <w:ind w:firstLine="640"/>
      </w:pPr>
      <w:r>
        <w:rPr>
          <w:rFonts w:hint="eastAsia"/>
        </w:rPr>
        <w:t>（1）引入国际物流和国际贸易企业，发展自贸港特色业务</w:t>
      </w:r>
    </w:p>
    <w:p>
      <w:pPr>
        <w:pStyle w:val="79"/>
        <w:ind w:firstLine="640"/>
      </w:pPr>
      <w:r>
        <w:rPr>
          <w:rFonts w:hint="eastAsia"/>
        </w:rPr>
        <w:t>针对国际运输体系建设，依托海南自由贸易港具有竞争力的运输与税务制度，引入大型国际物流集成商，兴建物流仓储、分拨中心等物流设施，打造临空临港产业发展平台</w:t>
      </w:r>
      <w:r>
        <w:rPr>
          <w:rFonts w:hint="eastAsia"/>
          <w:lang w:eastAsia="zh-CN"/>
        </w:rPr>
        <w:t>。</w:t>
      </w:r>
      <w:r>
        <w:rPr>
          <w:rFonts w:hint="eastAsia"/>
        </w:rPr>
        <w:t>以一体化的供应链解决方案和全方位的商务生活配套建设，吸引高净值国际贸易产业客群入驻。鼓励国际大型物流集成商拓展三亚航空货运网络，支撑国际贸易企业拓展业务线路，促进国际贸易发展，打造国际快件出入境分拨中心和跨境商务物流中心。</w:t>
      </w:r>
    </w:p>
    <w:p>
      <w:pPr>
        <w:pStyle w:val="79"/>
        <w:ind w:firstLine="640"/>
      </w:pPr>
      <w:r>
        <w:rPr>
          <w:rFonts w:hint="eastAsia"/>
        </w:rPr>
        <w:t>针对国内运输网络衔接，引入拥有国内成熟运输网络的大型物流集成商，协助其积极对接泛珠三角区域，通过发展铁海、公铁、空铁联运和“一单制”联运服务，拓展建设辐射全国的快件物流网络。借助第七航权试点政策，打造航空物流新格局。吸引国内外航空公司设立国际转运中心。</w:t>
      </w:r>
    </w:p>
    <w:p>
      <w:pPr>
        <w:pStyle w:val="79"/>
        <w:ind w:firstLine="640"/>
      </w:pPr>
      <w:r>
        <w:rPr>
          <w:rFonts w:hint="eastAsia"/>
        </w:rPr>
        <w:t>（2）针对地区旅游及消费市场，发展商贸物流</w:t>
      </w:r>
    </w:p>
    <w:p>
      <w:pPr>
        <w:pStyle w:val="79"/>
        <w:ind w:firstLine="640"/>
      </w:pPr>
      <w:r>
        <w:rPr>
          <w:rFonts w:hint="eastAsia"/>
        </w:rPr>
        <w:t>引入搬家、快递、外卖等城市配送企业、车队管理公司，同时配合吸引配送人员从业，以此建立起三亚市的城市配送网络体系。通过城市配送企业建立城市配送平台，在三亚扎根运营，与商家、客群建立连接与关系，满足并培育外来旅游群体与本地生活群体的消费习惯，并通过车队管理公司大规模快速展业，按需引入配送人员，建立完善运行的城市配送服务体系。</w:t>
      </w:r>
    </w:p>
    <w:p>
      <w:pPr>
        <w:pStyle w:val="79"/>
        <w:ind w:firstLine="640"/>
      </w:pPr>
      <w:r>
        <w:rPr>
          <w:rFonts w:hint="eastAsia"/>
        </w:rPr>
        <w:t>引入大型冷链物流企业与冷链物流第三方供应商，高标准建设大规模、数字化、智能化的冷链仓储、物流设施和冷链物流供应链数字平台，建立以冷链中间品加工贴牌增值服务为主，并适应全省旅客与居民消费需求的冷链物流服务体系，打造三亚本地知名冷链品牌，基本建成区域性国际冷链物流中心。并且，依托冷链、电商物流龙头企业，探索开通三亚至国内各城市的高铁冷链运输快速通道，加快构建现代物流体系，大幅提高冷链流通率，全面提升物流服务的质量和效率。</w:t>
      </w:r>
    </w:p>
    <w:p>
      <w:pPr>
        <w:pStyle w:val="79"/>
        <w:ind w:firstLine="640"/>
      </w:pPr>
      <w:r>
        <w:rPr>
          <w:rFonts w:hint="eastAsia"/>
        </w:rPr>
        <w:t>引入知名的商品展销策划企业与冷柜第三方供应商，强化大型农产品批发市场、大型农贸市场零售性冷库建设，推进冷链销售市场化终端在超市和便利店的投放，拓展冷链运输服务，延伸冷链物流产业链运营。</w:t>
      </w:r>
    </w:p>
    <w:p>
      <w:pPr>
        <w:pStyle w:val="79"/>
        <w:ind w:firstLine="640"/>
      </w:pPr>
      <w:r>
        <w:rPr>
          <w:rFonts w:hint="eastAsia"/>
        </w:rPr>
        <w:t>（</w:t>
      </w:r>
      <w:r>
        <w:t>3</w:t>
      </w:r>
      <w:r>
        <w:rPr>
          <w:rFonts w:hint="eastAsia"/>
        </w:rPr>
        <w:t>）加快构建现代智慧物流体系</w:t>
      </w:r>
    </w:p>
    <w:p>
      <w:pPr>
        <w:pStyle w:val="79"/>
        <w:ind w:firstLine="640"/>
      </w:pPr>
      <w:r>
        <w:rPr>
          <w:rFonts w:hint="eastAsia"/>
        </w:rPr>
        <w:t>引入各类现代物流运营主体与智慧物流解决方案供应商，通过智能软硬件、物联网、大数据等智慧化技术手段，应用指挥调度、智慧物流等物流功能，构建现代智慧物流体系，提升物流运作效率，逐步提升现代智慧物流规模。</w:t>
      </w:r>
    </w:p>
    <w:p>
      <w:pPr>
        <w:pStyle w:val="104"/>
        <w:ind w:firstLine="643"/>
        <w:rPr>
          <w:rFonts w:hint="eastAsia"/>
          <w:b w:val="0"/>
          <w:bCs/>
        </w:rPr>
      </w:pPr>
      <w:r>
        <w:rPr>
          <w:rFonts w:hint="eastAsia"/>
          <w:b w:val="0"/>
          <w:bCs/>
        </w:rPr>
        <w:t>6.推进商务服务业国际化高端化发展</w:t>
      </w:r>
    </w:p>
    <w:p>
      <w:pPr>
        <w:pStyle w:val="79"/>
        <w:ind w:firstLine="640"/>
      </w:pPr>
      <w:r>
        <w:rPr>
          <w:rFonts w:hint="eastAsia"/>
        </w:rPr>
        <w:t>全面提升商务服务水平和市场竞争力，构建功能完善、运作规范、国际化高端化水平不断提升的商务服务产业，为实体经济、开放经济提供有力专业服务保障。</w:t>
      </w:r>
    </w:p>
    <w:p>
      <w:pPr>
        <w:pStyle w:val="79"/>
        <w:ind w:firstLine="640"/>
      </w:pPr>
      <w:r>
        <w:rPr>
          <w:rFonts w:hint="eastAsia"/>
        </w:rPr>
        <w:t>（1）推进三亚特色国际会展服务业</w:t>
      </w:r>
    </w:p>
    <w:p>
      <w:pPr>
        <w:pStyle w:val="79"/>
        <w:ind w:firstLine="640"/>
      </w:pPr>
      <w:r>
        <w:rPr>
          <w:rFonts w:hint="eastAsia"/>
        </w:rPr>
        <w:t>引进国际顶级专业会展公司，引入广告、物流、策划、咨询、展台搭建等会展相关服务商，吸引国际知名行业品牌会展。以海棠湾保利C+国际博览中心为主，协同三亚湾红树林国际会议中心及规划新建的崖州湾、红塘湾会议会展中心及全市酒店会议设施，策划和培育举办专业化高端展会。依托三亚特色优势产业，加强与重点产业领域国家级行业协会、学会合作，引进培育具有较强行业影响力的专业会展活动，推出健康服务、南繁育种、热带农业、金融、高新技术产业领域特色的精品专业会展活动。举办具有国际影响力的大型国际展览会和节庆赛事活动，推动会展活动永久会址落于三亚。</w:t>
      </w:r>
    </w:p>
    <w:p>
      <w:pPr>
        <w:pStyle w:val="79"/>
        <w:ind w:firstLine="640"/>
      </w:pPr>
      <w:r>
        <w:rPr>
          <w:rFonts w:hint="eastAsia"/>
        </w:rPr>
        <w:t>（2）塑造总部经济生态体系</w:t>
      </w:r>
    </w:p>
    <w:p>
      <w:pPr>
        <w:pStyle w:val="79"/>
        <w:ind w:firstLine="640"/>
      </w:pPr>
      <w:r>
        <w:rPr>
          <w:rFonts w:hint="eastAsia"/>
        </w:rPr>
        <w:t>塑造具有资源配置能力的、“实心”的三亚总部经济生态。依托三亚产业基础，围绕三亚中央商务区建设，充分利用海南自由贸易港税收政策优势，引入一批在国内外行业领军企业、具备跨国经营能力的大企业在三亚设立跨国公司地区总部、综合型（区域型）总部、高成长型总部、国际组织（机构）地区总部。文旅产业方面，争取全球最大邮轮集团嘉年华在三亚建设东南亚船供中心和区域总部。现代服务业方面，一是与渤海租赁、国银租赁等国内金融租赁龙头对接，大力发展融资租赁产业。二是大力发展物流总部经济，利用优势龙头企业的引领带动作用，为自由贸易区和保税区的建立提供支撑，开拓三亚市国际物流业务。</w:t>
      </w:r>
      <w:r>
        <w:rPr>
          <w:rFonts w:hint="eastAsia"/>
          <w:lang w:val="en-US" w:eastAsia="zh-CN"/>
        </w:rPr>
        <w:t>三是在</w:t>
      </w:r>
      <w:r>
        <w:rPr>
          <w:rFonts w:hint="eastAsia"/>
        </w:rPr>
        <w:t>高新科技方面，依托崖州湾科技城，建立国际科技合作中心，引入农业科技领域顶尖科研机构办事处、合作平台，大力引入、培育一批热带特色高效农业的企业总部和总部型机构，加速国内国际高端要素集聚，构筑世界级种业科技产业集群。</w:t>
      </w:r>
    </w:p>
    <w:p>
      <w:pPr>
        <w:pStyle w:val="79"/>
        <w:snapToGrid w:val="0"/>
        <w:spacing w:after="240"/>
        <w:ind w:firstLine="640"/>
        <w:contextualSpacing w:val="0"/>
      </w:pPr>
      <w:r>
        <w:rPr>
          <w:rFonts w:hint="eastAsia"/>
        </w:rPr>
        <w:t>配套支撑方面，协助完善总部认定标准，构建差异化协同发展的总部经济格局。面向世界500强企业、中国500强企业、全球行业领军企业和国际组织等目标企业，配备专业团队提供政策信息。完善商务服务配套，引进国内外头部规划、会计、审计、法律服务、评级服务、检测认证、人力资源、环保服务、广告传媒、科技研发、信息技术等高度依赖知识智力成果的知识密集型产业专业服务业机构。</w:t>
      </w:r>
    </w:p>
    <w:tbl>
      <w:tblPr>
        <w:tblStyle w:val="32"/>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8" w:type="dxa"/>
          </w:tcPr>
          <w:p>
            <w:pPr>
              <w:pStyle w:val="79"/>
              <w:ind w:firstLine="0" w:firstLineChars="0"/>
              <w:jc w:val="center"/>
            </w:pPr>
            <w:r>
              <w:rPr>
                <w:rFonts w:hint="eastAsia"/>
              </w:rPr>
              <w:t>专栏2：三亚市“十四五”期间现代服务业产业招商引资发展路径——以新型国际贸易产业为例</w:t>
            </w:r>
          </w:p>
          <w:p>
            <w:pPr>
              <w:pStyle w:val="79"/>
              <w:ind w:firstLine="640"/>
            </w:pPr>
            <w:r>
              <w:rPr>
                <w:rFonts w:hint="eastAsia"/>
              </w:rPr>
              <w:t>（1）新型国际贸易产业发展基础</w:t>
            </w:r>
          </w:p>
          <w:p>
            <w:pPr>
              <w:pStyle w:val="79"/>
              <w:ind w:firstLine="640"/>
            </w:pPr>
            <w:r>
              <w:rPr>
                <w:rFonts w:hint="eastAsia"/>
              </w:rPr>
              <w:t>全国新型国际贸易面临面临较大发展机遇，以临港新片区构建“1+3+1”离岸贸易平台体系为引领，长三角地区的全球资源配置能力逐步得到提升。三亚发展新型国际贸易相对国内领先地区基础薄弱，在优惠政策驱动下，去年以来借势实现爆发增长。2020年海南全省离岸新型国际贸易收支额累计超18亿美元，同比去年增长约11倍，业务涉及新加坡、巴西、澳大利亚和孟加拉国等国家和地区，增长态势明显。</w:t>
            </w:r>
          </w:p>
          <w:p>
            <w:pPr>
              <w:pStyle w:val="79"/>
              <w:ind w:firstLine="640"/>
            </w:pPr>
            <w:r>
              <w:rPr>
                <w:rFonts w:hint="eastAsia"/>
              </w:rPr>
              <w:t>（2）产业发展政策机遇</w:t>
            </w:r>
          </w:p>
          <w:p>
            <w:pPr>
              <w:pStyle w:val="79"/>
              <w:ind w:firstLine="640"/>
            </w:pPr>
            <w:r>
              <w:rPr>
                <w:rFonts w:hint="eastAsia"/>
              </w:rPr>
              <w:t>出台业态发展“一揽子”支持政策，包括将离岸贸易纳入自贸港鼓励类产业目录、内外资企业可享受15%的企业所得税优惠税率等</w:t>
            </w:r>
            <w:r>
              <w:rPr>
                <w:rFonts w:hint="eastAsia"/>
                <w:lang w:eastAsia="zh-CN"/>
              </w:rPr>
              <w:t>。</w:t>
            </w:r>
            <w:r>
              <w:rPr>
                <w:rFonts w:hint="eastAsia"/>
              </w:rPr>
              <w:t>中国人民银行、银保监会、证监会、外汇局发布《关于金融支持海南全面深化改革开放的意见》确立了海南扩大金融业对外开放，授权海南自由贸易港内分行开展离岸银行业务的大方向。</w:t>
            </w:r>
          </w:p>
          <w:p>
            <w:pPr>
              <w:pStyle w:val="79"/>
              <w:ind w:firstLine="640"/>
            </w:pPr>
            <w:r>
              <w:rPr>
                <w:rFonts w:hint="eastAsia"/>
              </w:rPr>
              <w:t>（3）产业链目标环节</w:t>
            </w:r>
          </w:p>
          <w:p>
            <w:pPr>
              <w:pStyle w:val="79"/>
              <w:ind w:firstLine="640"/>
            </w:pPr>
            <w:r>
              <w:rPr>
                <w:rFonts w:hint="eastAsia"/>
              </w:rPr>
              <w:t>通过吸引总部型机构集聚，同步促进离岸金融业发展，大量引入关键领域高端专业型人才，“十四五”期间目标产业规模、经济总量均显著提升。除总部型机构外，同时借势吸引上下游产业链众多高端服务业集聚，如法务、税务、审计等与离岸贸易相关的整套服务业态。</w:t>
            </w:r>
          </w:p>
          <w:p>
            <w:pPr>
              <w:pStyle w:val="79"/>
              <w:ind w:firstLine="640"/>
            </w:pPr>
            <w:r>
              <w:rPr>
                <w:rFonts w:hint="eastAsia"/>
              </w:rPr>
              <w:t>（4）招商策略</w:t>
            </w:r>
          </w:p>
          <w:p>
            <w:pPr>
              <w:pStyle w:val="79"/>
              <w:ind w:firstLine="640"/>
              <w:rPr>
                <w:lang w:val="en-GB"/>
              </w:rPr>
            </w:pPr>
            <w:r>
              <w:rPr>
                <w:rFonts w:hint="eastAsia"/>
                <w:lang w:val="en-GB"/>
              </w:rPr>
              <w:t>力争在“十四五”开局之初，重点面向与境外经贸往来较密切、具有跨境资金结算需求的央企、大型国有企业，以及品牌价值高、具备全球范围内配置生产资源能力的世界500强跨国企业开展招商推介，借助自贸港政策优势推动其落位。</w:t>
            </w:r>
          </w:p>
          <w:p>
            <w:pPr>
              <w:pStyle w:val="79"/>
              <w:ind w:firstLine="640"/>
              <w:rPr>
                <w:lang w:val="en-GB"/>
              </w:rPr>
            </w:pPr>
            <w:r>
              <w:rPr>
                <w:rFonts w:hint="eastAsia"/>
                <w:lang w:val="en-GB"/>
              </w:rPr>
              <w:t>随后积极引进境内外知名银行、金融机构设立分支机构、经营网点，开展新型国际贸易收付汇业务，提升与离岸贸易相关的金融服务水平。同时注重科技企业赋能外汇监管，推进外汇线索研判技术引进，利用关系图谱、人工智能等技术，进一步提升识别违规主体的智能化水平。</w:t>
            </w:r>
          </w:p>
          <w:p>
            <w:pPr>
              <w:pStyle w:val="79"/>
              <w:ind w:firstLine="640"/>
              <w:rPr>
                <w:szCs w:val="32"/>
                <w:lang w:val="en-GB"/>
              </w:rPr>
            </w:pPr>
            <w:r>
              <w:rPr>
                <w:rFonts w:hint="eastAsia"/>
                <w:lang w:val="en-GB"/>
              </w:rPr>
              <w:t>开展新型离岸贸易上下游产业链招商，吸引为贸易提供服务的理货、货代、保险、国际物流、金融保险、保税展示等服务机构进驻。</w:t>
            </w:r>
          </w:p>
        </w:tc>
      </w:tr>
    </w:tbl>
    <w:p>
      <w:pPr>
        <w:pStyle w:val="102"/>
        <w:ind w:firstLine="643"/>
      </w:pPr>
      <w:bookmarkStart w:id="48" w:name="_Toc75191025"/>
      <w:r>
        <w:rPr>
          <w:rFonts w:hint="eastAsia" w:ascii="楷体_GB2312" w:hAnsi="楷体_GB2312" w:eastAsia="楷体_GB2312" w:cs="楷体_GB2312"/>
          <w:b w:val="0"/>
          <w:bCs/>
        </w:rPr>
        <w:t>（三）</w:t>
      </w:r>
      <w:r>
        <w:rPr>
          <w:rFonts w:hint="eastAsia" w:ascii="楷体_GB2312" w:hAnsi="楷体_GB2312" w:eastAsia="楷体_GB2312" w:cs="楷体_GB2312"/>
          <w:b w:val="0"/>
          <w:bCs/>
          <w:szCs w:val="32"/>
        </w:rPr>
        <w:t>优化高新技术产业战略性布局</w:t>
      </w:r>
      <w:bookmarkEnd w:id="48"/>
    </w:p>
    <w:p>
      <w:pPr>
        <w:pStyle w:val="79"/>
        <w:ind w:firstLine="640"/>
      </w:pPr>
      <w:r>
        <w:rPr>
          <w:rFonts w:hint="eastAsia"/>
        </w:rPr>
        <w:t>高新技术产业作为海南自贸港建设三大主导产业之一，三亚抢抓机遇，以崖州湾科技城、遥感信息产业园等为依托，承载国家重大战略落位，积极推进新型基础设施建设与应用，加快数字经济应用项目、智能制造业发展，完善深海科技、卫星遥感等创新基础设施，以及数据中心、人工智能等信息基础设施，打造海南自由贸易港前沿科技创新旗帜。</w:t>
      </w:r>
    </w:p>
    <w:p>
      <w:pPr>
        <w:pStyle w:val="79"/>
        <w:ind w:firstLine="640"/>
      </w:pPr>
      <w:r>
        <w:rPr>
          <w:rFonts w:hint="eastAsia"/>
        </w:rPr>
        <w:t>通过对外合作与引进等手段，做大做强产业园区与基地建设。以崖州湾科技城等现有科技园区和中科院深海所、三亚遥感所等科研机构为依托，加大与国内外知名企业和科研机构的合作与引进力度，推进高新技术产业载体建设。引进世界500强企业和央企，做大做强各类园区。鼓励社会资本参与孵化器建设，壮大孵化器队伍。</w:t>
      </w:r>
    </w:p>
    <w:p>
      <w:pPr>
        <w:pStyle w:val="104"/>
        <w:ind w:firstLine="643"/>
        <w:rPr>
          <w:rFonts w:hint="eastAsia"/>
          <w:b w:val="0"/>
          <w:bCs/>
        </w:rPr>
      </w:pPr>
      <w:bookmarkStart w:id="49" w:name="_Toc69925817"/>
      <w:r>
        <w:rPr>
          <w:rFonts w:hint="eastAsia"/>
          <w:b w:val="0"/>
          <w:bCs/>
        </w:rPr>
        <w:t>1.提升深海产业自主创新能力，汇聚深海产业创新资源</w:t>
      </w:r>
      <w:bookmarkEnd w:id="49"/>
    </w:p>
    <w:p>
      <w:pPr>
        <w:pStyle w:val="79"/>
        <w:ind w:firstLine="640"/>
      </w:pPr>
      <w:r>
        <w:rPr>
          <w:rFonts w:hint="eastAsia"/>
        </w:rPr>
        <w:t>依托全国范围内独特的深海属性和南海海洋资源优势，通过联合国海洋大会等对外合作交流平台，以深海科技城的建设为中心，南海综合试验场体系、三亚深海装备产业园等重要项目为抓手，积极发展海洋装备及资源开发、海洋探测与海洋工程服务、海洋通讯及信息服务、深海科技研究、深海渔业和海洋生物科技等重点领域，引进国内外知名深海科技相关领域的科研机构、企业或高校落地，助力我国向深海产业价值链的顶端发展。充分利用现有的深海产业科研院所、研发制造企业、第三方专业服务机构等资源，积极推动“以商招商”，与国内其他海洋产业先进城市对标，借鉴经验的同时差异化发展，招揽深海产业各细分领域企业。同时，争取一批深海相关的军民融合项目落地，汇聚深海产业创新资源，打造国家海洋强国战略的重要承载地。</w:t>
      </w:r>
    </w:p>
    <w:p>
      <w:pPr>
        <w:pStyle w:val="79"/>
        <w:ind w:firstLine="640"/>
      </w:pPr>
      <w:r>
        <w:rPr>
          <w:rFonts w:hint="eastAsia"/>
        </w:rPr>
        <w:t>（1）引进科研机构，产业基础研发实力</w:t>
      </w:r>
    </w:p>
    <w:p>
      <w:pPr>
        <w:pStyle w:val="79"/>
        <w:ind w:firstLine="640"/>
      </w:pPr>
      <w:r>
        <w:rPr>
          <w:rFonts w:hint="eastAsia"/>
        </w:rPr>
        <w:t>关注海洋材料基础研究。围绕耐盐耐腐蚀深海材料研发领域引进国内外知名机构，全面提升成果转化；围绕特种金属功能材料技术、高性能结构材料技术、功能性高分子材料技术、特种无机非金属材料技术和先进复合材料技术等领域，招揽一批国内外知名的研究机构、企业或院校，为深海探索、深海资源开发打下坚实基础。</w:t>
      </w:r>
    </w:p>
    <w:p>
      <w:pPr>
        <w:pStyle w:val="79"/>
        <w:ind w:firstLine="640"/>
      </w:pPr>
      <w:r>
        <w:rPr>
          <w:rFonts w:hint="eastAsia"/>
        </w:rPr>
        <w:t>赋能深海装备制造与深海资源开发。围绕深海装备制造和深海资源开发领域技术创新，积极引进船舶海洋工程装备研发与服务、深海能源矿产技术研发与服务、深海可再生能源利用技术研发与服务和深层海水综合利用技术研发与服务等领域的科研机构、企业或院校</w:t>
      </w:r>
      <w:r>
        <w:rPr>
          <w:rFonts w:hint="eastAsia"/>
          <w:lang w:eastAsia="zh-CN"/>
        </w:rPr>
        <w:t>。</w:t>
      </w:r>
      <w:r>
        <w:rPr>
          <w:rFonts w:hint="eastAsia"/>
        </w:rPr>
        <w:t>推动我国自升式钻井平台、半潜式钻井平台、半潜式生产平台、钻井船、浮式生产储卸装置（FPSO）等主流装备技术能力，加快技术提升步伐。大力发展液化天然气浮式生产储卸装置（LNG-FPSO）、深吃水立柱式平台（SPAR）、张力腿平台（TLP）、浮式钻井生产储卸装置（FDPSO）等新型装备研发水平。重点发展大型LPG船、豪华邮轮等高技术高附加值船舶，以及超级节能环保船舶和智能船舶，提升深海装备产业能级，力争步入海洋工程装备总装制造先进国家行列。</w:t>
      </w:r>
    </w:p>
    <w:p>
      <w:pPr>
        <w:pStyle w:val="79"/>
        <w:ind w:firstLine="640"/>
      </w:pPr>
      <w:r>
        <w:rPr>
          <w:rFonts w:hint="eastAsia"/>
        </w:rPr>
        <w:t>打造海洋生物科技新极。围绕深海渔业、海洋生物科研、海洋生物引育研究、海产品精深加工领域，招揽一批顶尖的科研机构、企业或院校。其中，在深海渔业方面，围绕远洋捕捞技术、远洋牧场、深海渔业种源保护及繁育和深海养殖及加工领域，招揽捕捞技术与装备研发、远洋捕捞、远洋运输、产品加工、冷链物流和贸易销售企业，做强海洋生物科技。</w:t>
      </w:r>
    </w:p>
    <w:p>
      <w:pPr>
        <w:pStyle w:val="79"/>
        <w:ind w:firstLine="640"/>
      </w:pPr>
      <w:r>
        <w:rPr>
          <w:rFonts w:hint="eastAsia"/>
        </w:rPr>
        <w:t>（2）引进深海探测研发应用及制造企业，促进成果转化</w:t>
      </w:r>
    </w:p>
    <w:p>
      <w:pPr>
        <w:pStyle w:val="79"/>
        <w:ind w:firstLine="640"/>
      </w:pPr>
      <w:r>
        <w:rPr>
          <w:rFonts w:hint="eastAsia"/>
        </w:rPr>
        <w:t>重点围绕深海探测装备的研发、试验与检测以及深海探测技术的成果转化领域，持续开展水下机器人、载人潜水器、无人潜水器、水下滑翔机等多样化的深海探测装备的研发与制造企业招商工作。招揽海底观测网、高频声呐成像、潮位仪、测波雷达系统等海洋探测装备研发与应用科研机构和企业，实现高端海洋探测装备的国产化。</w:t>
      </w:r>
    </w:p>
    <w:p>
      <w:pPr>
        <w:pStyle w:val="79"/>
        <w:ind w:firstLine="640"/>
      </w:pPr>
      <w:r>
        <w:rPr>
          <w:rFonts w:hint="eastAsia"/>
        </w:rPr>
        <w:t>（3）引进海洋通讯及信息服务企业，赋能智慧海洋发展</w:t>
      </w:r>
    </w:p>
    <w:p>
      <w:pPr>
        <w:pStyle w:val="79"/>
        <w:ind w:firstLine="640"/>
      </w:pPr>
      <w:r>
        <w:rPr>
          <w:rFonts w:hint="eastAsia"/>
        </w:rPr>
        <w:t>积极引进海洋领域科技应用相关的云计算、大数据、人工智能等智慧海洋与海洋信息服务研究机构或企业，同时开展对于海洋卫星定位、海洋5G应用、深海遥感等海洋通讯研发应用机构或企业的招引，赋能智慧海洋的发展。</w:t>
      </w:r>
    </w:p>
    <w:p>
      <w:pPr>
        <w:pStyle w:val="104"/>
        <w:ind w:firstLine="643"/>
        <w:rPr>
          <w:rFonts w:hint="eastAsia"/>
          <w:b w:val="0"/>
          <w:bCs/>
        </w:rPr>
      </w:pPr>
      <w:r>
        <w:rPr>
          <w:rFonts w:hint="eastAsia"/>
          <w:b w:val="0"/>
          <w:bCs/>
        </w:rPr>
        <w:t>2.探索三亚特色数字产业建设，助力智能信息岛建设</w:t>
      </w:r>
    </w:p>
    <w:p>
      <w:pPr>
        <w:pStyle w:val="79"/>
        <w:ind w:firstLine="640"/>
      </w:pPr>
      <w:r>
        <w:rPr>
          <w:rFonts w:hint="eastAsia"/>
        </w:rPr>
        <w:t>数字产业在三亚的落地发展，不仅是国家为海南自贸港发展指出的方向，也是三亚深化数字经济与实体经济融合发展的切实抓手。大力吸引数字产业领域领先企业设立分支机构或数据中心，促进三亚数字行业集聚发展。打造数字经济消费市场发展，打造海南自贸港电商、网红经济示范基地。着力发展数字经济产业发展图谱中的核心层与行业应用层，推动数字产业化发展，依靠信息技术创新驱动，催生新产业新业态新模式。</w:t>
      </w:r>
    </w:p>
    <w:p>
      <w:pPr>
        <w:pStyle w:val="79"/>
        <w:ind w:firstLine="640"/>
      </w:pPr>
      <w:r>
        <w:rPr>
          <w:rFonts w:hint="eastAsia"/>
        </w:rPr>
        <w:t>（1）聚焦数字产业化，推动知识与技术密集型产业突破</w:t>
      </w:r>
    </w:p>
    <w:p>
      <w:pPr>
        <w:pStyle w:val="79"/>
        <w:ind w:firstLine="640"/>
      </w:pPr>
      <w:r>
        <w:rPr>
          <w:rFonts w:hint="eastAsia"/>
        </w:rPr>
        <w:t>推动人工智能服务实体经济。瞄准人工智能产业链中应用场景清晰，发展较为成熟技术层和应用层进行精准招商。技术层面，依托三亚崖州湾科技城，深化“国家新一代人工智能开放平台三亚中心”平台建设，进一步扩大人工智能感知技术智慧园发展，推动机器人、自然语言处理（NLP）、计算机视觉与图像（CV）、语音识别等技术领域头部企业进入三亚，大力吸引商汤、依图、Face++等独角兽和上市公司设立机构。应用层面，加强与全国先进地区合作布局，深化与北京、上海、深圳等人工智能领跑城市合作，推动当地综合性人工智能开发公司在三亚探索人工智能落地应用技术。</w:t>
      </w:r>
    </w:p>
    <w:p>
      <w:pPr>
        <w:pStyle w:val="79"/>
        <w:ind w:firstLine="640"/>
      </w:pPr>
      <w:r>
        <w:rPr>
          <w:rFonts w:hint="eastAsia"/>
        </w:rPr>
        <w:t>以互联网为载体，建立数字消费新业态。培育直播电商，引入全媒体传播、移动视频平台、网红孵化运营等多领域企业。一方面通过发挥三亚传媒影视集团媒体优势，围绕三亚特色旅游业、特色农业、跨境电商、食品加工等领域，联动全网红人资源及电商直播平台，搭建直播电商新渠道；另一方面与三亚本地院校进行深度合作，成立集教学、技能鉴定和技术服务为一体的多功能职业教育中心，提供直播、就业的人才储备，实现校企共赢。</w:t>
      </w:r>
    </w:p>
    <w:p>
      <w:pPr>
        <w:pStyle w:val="79"/>
        <w:ind w:firstLine="640"/>
      </w:pPr>
      <w:r>
        <w:rPr>
          <w:rFonts w:hint="eastAsia"/>
        </w:rPr>
        <w:t>深化数字政府服务能力。重点招引政府治理、公共服务智能化领域的数字政务建设团队，加速政务云、政务大数据中心、互联网+政务服务、基于区块链的政务服务数据共享平台、政务微服务平台等数字化政务落地项目。</w:t>
      </w:r>
    </w:p>
    <w:p>
      <w:pPr>
        <w:pStyle w:val="79"/>
        <w:ind w:firstLine="640"/>
      </w:pPr>
      <w:r>
        <w:rPr>
          <w:rFonts w:hint="eastAsia"/>
        </w:rPr>
        <w:t>（2）布局数字经济核心技术，打造基础支撑</w:t>
      </w:r>
    </w:p>
    <w:p>
      <w:pPr>
        <w:pStyle w:val="79"/>
        <w:ind w:firstLine="640"/>
      </w:pPr>
      <w:r>
        <w:t>积极推进新型基础设施建设与应用</w:t>
      </w:r>
      <w:r>
        <w:rPr>
          <w:rFonts w:hint="eastAsia"/>
        </w:rPr>
        <w:t>。</w:t>
      </w:r>
      <w:r>
        <w:t>加快5G应用项目</w:t>
      </w:r>
      <w:r>
        <w:rPr>
          <w:rFonts w:hint="eastAsia"/>
        </w:rPr>
        <w:t>与互联网技术相融合</w:t>
      </w:r>
      <w:r>
        <w:t>，完善深海科技、南繁育种、卫星遥感等创新基础设施，以及数据中心等信息基础设施</w:t>
      </w:r>
      <w:r>
        <w:rPr>
          <w:rFonts w:hint="eastAsia"/>
        </w:rPr>
        <w:t>。依托玩呀互联网信息产业园，大力推动大数据、人工智能、物联网等新兴科技企业入驻，重点打造智慧城市、智慧海洋、智慧旅游等领域的企业集聚。</w:t>
      </w:r>
    </w:p>
    <w:p>
      <w:pPr>
        <w:pStyle w:val="79"/>
        <w:ind w:firstLine="640"/>
      </w:pPr>
      <w:r>
        <w:rPr>
          <w:rFonts w:hint="eastAsia"/>
        </w:rPr>
        <w:t>探索数字资产交易平台建设，探索资产数字化、数字资产确权保护、数字资产全球化流动、数字资产交易等方面的标准和技术模式，推动数字资产相关业态在三亚先行先试。重点引进安迈云、椰云网络、链融信息、火币中国等区块链企业。深化科研机构集聚，探索引进全国、全球知名科研机构，支持国家级研究机构和院士、专家建立区块链实验室（研发中心等）。鼓励企业与高等院校、科研院所合作，围绕区块链主导产业组建技术创新联盟、研究院、重点实验室、研发中心等。重点发展公链行业。依托公有链开发应用服务，吸引软件开发，尤其是金融类DApp的研发，以满足企业金融交易安全性，提升跨界信息共享。</w:t>
      </w:r>
    </w:p>
    <w:p>
      <w:pPr>
        <w:pStyle w:val="104"/>
        <w:ind w:firstLine="643"/>
        <w:rPr>
          <w:rFonts w:hint="eastAsia"/>
          <w:b w:val="0"/>
          <w:bCs/>
        </w:rPr>
      </w:pPr>
      <w:r>
        <w:rPr>
          <w:rFonts w:hint="eastAsia"/>
          <w:b w:val="0"/>
          <w:bCs/>
        </w:rPr>
        <w:t>3.推动先进制造业突破发展</w:t>
      </w:r>
    </w:p>
    <w:p>
      <w:pPr>
        <w:pStyle w:val="79"/>
        <w:ind w:firstLine="640"/>
      </w:pPr>
      <w:r>
        <w:rPr>
          <w:rFonts w:hint="eastAsia"/>
        </w:rPr>
        <w:t>顺应工业4</w:t>
      </w:r>
      <w:r>
        <w:t>.0</w:t>
      </w:r>
      <w:r>
        <w:rPr>
          <w:rFonts w:hint="eastAsia"/>
        </w:rPr>
        <w:t>发展趋势，积极发展三亚特色智能制造。加速高新技术在制造业融合，将领先技术与设计、生产、管理、服务等制造活动的各个环节融合，打造与海南自贸港战略契合度较高的智能制造业。</w:t>
      </w:r>
    </w:p>
    <w:p>
      <w:pPr>
        <w:pStyle w:val="79"/>
        <w:ind w:firstLine="640"/>
      </w:pPr>
      <w:r>
        <w:rPr>
          <w:rFonts w:hint="eastAsia"/>
        </w:rPr>
        <w:t>打造黄金珠宝先进制造基地。依托离岛免税购物政策，积极引进、建设时尚高端消费品加工制造、定制和展示交易中心，积极引进黄金珠宝智能制造企业，打造附加值高、污染低、智能化程度高的黄金珠宝全产业链业务，推动成立黄金珠宝3D智能制造研发中心、黄金智能制造工厂。战略合作国家级珠宝、轻工检测重点实验室，构建研发设计、智能制造、电子商务、产业基地于一体的产业集群。</w:t>
      </w:r>
    </w:p>
    <w:p>
      <w:pPr>
        <w:pStyle w:val="79"/>
        <w:ind w:firstLine="640"/>
      </w:pPr>
      <w:r>
        <w:rPr>
          <w:rFonts w:hint="eastAsia"/>
        </w:rPr>
        <w:t>形成具有国际竞争力的邮轮游艇智能制造配套体系。深化与中船邮轮合作关系，围绕邮轮航线、邮轮维修保障等领域延伸邮轮游艇智能制造产业链条深化发展。依托三亚发展智能制造的发展目标，推动邮轮游艇交易、设计、制造、消费、维修、培训等产业发展，延伸邮轮游艇产业链配套端发展，着力引进工业设计/咨询、装备设计、维修保养、系统集成等以服务为主的服务商。</w:t>
      </w:r>
    </w:p>
    <w:p>
      <w:pPr>
        <w:pStyle w:val="79"/>
        <w:ind w:firstLine="640"/>
      </w:pPr>
      <w:r>
        <w:rPr>
          <w:rFonts w:hint="eastAsia"/>
        </w:rPr>
        <w:t>培育高附加值医疗器械产业。立足区位优势，打造三亚与博鳌先行区协调发展，依托空港区域，探索开展医疗器械、新型辅料耗材先进制造，鼓励有关领域企业开展国际创新药械线上线下展示、发布、培训业务，实现医患不出国门享受世界领先药械服务。</w:t>
      </w:r>
    </w:p>
    <w:tbl>
      <w:tblPr>
        <w:tblStyle w:val="32"/>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8" w:type="dxa"/>
          </w:tcPr>
          <w:p>
            <w:pPr>
              <w:pStyle w:val="79"/>
              <w:ind w:firstLine="0" w:firstLineChars="0"/>
              <w:jc w:val="center"/>
            </w:pPr>
            <w:r>
              <w:rPr>
                <w:rFonts w:hint="eastAsia"/>
                <w:szCs w:val="32"/>
              </w:rPr>
              <w:t>专栏3</w:t>
            </w:r>
            <w:r>
              <w:rPr>
                <w:szCs w:val="32"/>
              </w:rPr>
              <w:t xml:space="preserve"> </w:t>
            </w:r>
            <w:r>
              <w:rPr>
                <w:rFonts w:hint="eastAsia"/>
                <w:szCs w:val="32"/>
              </w:rPr>
              <w:t>三亚市“十四五”期间高新技术产业招商引资发展路径——以深海产业为例</w:t>
            </w:r>
          </w:p>
          <w:p>
            <w:pPr>
              <w:pStyle w:val="79"/>
              <w:ind w:firstLine="640"/>
            </w:pPr>
            <w:r>
              <w:rPr>
                <w:rFonts w:hint="eastAsia"/>
              </w:rPr>
              <w:t>（1）深海产业发展基础</w:t>
            </w:r>
          </w:p>
          <w:p>
            <w:pPr>
              <w:pStyle w:val="79"/>
              <w:ind w:firstLine="640"/>
            </w:pPr>
            <w:r>
              <w:rPr>
                <w:rFonts w:hint="eastAsia"/>
              </w:rPr>
              <w:t>三亚市深海产业以位于崖州湾的深海科技城为主要抓手，已引入中科院深海所、中科院南海所、中国地质调查局等4家科研机构</w:t>
            </w:r>
            <w:r>
              <w:rPr>
                <w:rFonts w:hint="eastAsia"/>
                <w:lang w:eastAsia="zh-CN"/>
              </w:rPr>
              <w:t>，</w:t>
            </w:r>
            <w:r>
              <w:rPr>
                <w:rFonts w:hint="eastAsia"/>
              </w:rPr>
              <w:t>引进中国传播集团、国家电投、中国电信、招商局集团、航天科工海鹰集团、保利集团等6家央企，科大讯飞、赛微电子、深兰科技、山东未来机器人等优质企业也相继入驻。在重大项目的建设上，中船集团已经在开发建设南海舰船深远海科研试验及综合服务保障基地、深远海科技中心服务配套基地等项目，计划投资69.07亿元，目前已完成投资7.12亿元；招商三亚深海装备产业园也已在开发建设中，计划投资3亿元。在深海设备的部署上，探索一号、探索二号、奋斗者号、深海勇士号、超大型压力舱等深海装备也已入驻三亚，为三亚发展深海产业奠定了基础。</w:t>
            </w:r>
          </w:p>
          <w:p>
            <w:pPr>
              <w:pStyle w:val="79"/>
              <w:ind w:firstLine="640"/>
            </w:pPr>
            <w:r>
              <w:rPr>
                <w:rFonts w:hint="eastAsia"/>
              </w:rPr>
              <w:t>（2）产业发展政策机遇</w:t>
            </w:r>
          </w:p>
          <w:p>
            <w:pPr>
              <w:pStyle w:val="79"/>
              <w:ind w:firstLine="640"/>
            </w:pPr>
            <w:r>
              <w:rPr>
                <w:rFonts w:hint="eastAsia"/>
              </w:rPr>
              <w:t>以习近平总书记在4.13重要讲话中指出的“发展海洋科技，加强深海科学技术研究，推进“智慧海洋”建设，把海南打造成</w:t>
            </w:r>
            <w:r>
              <w:rPr>
                <w:rFonts w:hint="eastAsia"/>
                <w:lang w:eastAsia="zh-CN"/>
              </w:rPr>
              <w:t>“</w:t>
            </w:r>
            <w:r>
              <w:rPr>
                <w:rFonts w:hint="eastAsia"/>
                <w:lang w:val="en-US" w:eastAsia="zh-CN"/>
              </w:rPr>
              <w:t>海洋强省</w:t>
            </w:r>
            <w:r>
              <w:rPr>
                <w:rFonts w:hint="eastAsia"/>
                <w:lang w:eastAsia="zh-CN"/>
              </w:rPr>
              <w:t>”</w:t>
            </w:r>
            <w:r>
              <w:rPr>
                <w:rFonts w:hint="eastAsia"/>
              </w:rPr>
              <w:t>为引领</w:t>
            </w:r>
            <w:r>
              <w:rPr>
                <w:rFonts w:hint="eastAsia"/>
                <w:lang w:eastAsia="zh-CN"/>
              </w:rPr>
              <w:t>。</w:t>
            </w:r>
            <w:r>
              <w:rPr>
                <w:rFonts w:hint="eastAsia"/>
              </w:rPr>
              <w:t>同时在《中共中央 国务院关于支持海南全面深化改革开放的指导意见》等自贸港宏观政策的指引下，中共海南省委、海南省人民政府出台了《关于加快建设海洋强省的决定》和《关于加快科技创新的实施意见》等政策文件，为海南深海科技城建设营造了政策环境。</w:t>
            </w:r>
          </w:p>
          <w:p>
            <w:pPr>
              <w:pStyle w:val="79"/>
              <w:ind w:firstLine="640"/>
            </w:pPr>
            <w:r>
              <w:rPr>
                <w:rFonts w:hint="eastAsia"/>
              </w:rPr>
              <w:t>（3）产业链目标环节</w:t>
            </w:r>
          </w:p>
          <w:p>
            <w:pPr>
              <w:pStyle w:val="79"/>
              <w:ind w:firstLine="640"/>
              <w:rPr>
                <w:rFonts w:hint="eastAsia" w:eastAsia="仿宋_GB2312"/>
                <w:lang w:eastAsia="zh-CN"/>
              </w:rPr>
            </w:pPr>
            <w:r>
              <w:rPr>
                <w:rFonts w:hint="eastAsia"/>
              </w:rPr>
              <w:t>在深海产业发展方面，三亚应强化产业链中较薄弱的深海科技研发和科技成果转移与转化环节，集聚一批深海科技研发机构与企业</w:t>
            </w:r>
            <w:r>
              <w:rPr>
                <w:rFonts w:hint="eastAsia"/>
                <w:lang w:eastAsia="zh-CN"/>
              </w:rPr>
              <w:t>。</w:t>
            </w:r>
            <w:r>
              <w:rPr>
                <w:rFonts w:hint="eastAsia"/>
              </w:rPr>
              <w:t>同时引进一批涉海知名大学，构建深海教学、科研、产业一体化开放平台，加快发展深海科学研究、装备研发、装备应用、深海资源开发利用等能力，建成重大科研成果应用转化的示范基地，推动我国深海产业走向价值链的顶端</w:t>
            </w:r>
            <w:r>
              <w:rPr>
                <w:rFonts w:hint="eastAsia"/>
                <w:lang w:eastAsia="zh-CN"/>
              </w:rPr>
              <w:t>。</w:t>
            </w:r>
          </w:p>
          <w:p>
            <w:pPr>
              <w:pStyle w:val="79"/>
              <w:ind w:firstLine="640"/>
            </w:pPr>
            <w:r>
              <w:rPr>
                <w:rFonts w:hint="eastAsia"/>
              </w:rPr>
              <w:t>（4）招商策略</w:t>
            </w:r>
          </w:p>
          <w:p>
            <w:pPr>
              <w:pStyle w:val="79"/>
              <w:ind w:firstLine="640"/>
              <w:rPr>
                <w:szCs w:val="32"/>
              </w:rPr>
            </w:pPr>
            <w:r>
              <w:rPr>
                <w:rFonts w:hint="eastAsia"/>
              </w:rPr>
              <w:t>以深海科技城为深海产业发展核心载体，以打造深海产业科研基地为目的，招揽和培育深海科学研究、深海装备制造、深海装备测试与深海技术服务企业与科研机构。以组建深海装备研发及测试中心为目标，积极引进掌握深海进入、深海探测和深海资源开发领域核心技术的相关企业与科研机构，为深海装备研发提供技术支撑和服务保障。以完善军民兼用的海洋装备测试体系为目的，充分利用南海深水水域优势，加快深海装备海上试验场和深海空间站项目的规划建设，引进一批深海领域军民融合企业。</w:t>
            </w:r>
          </w:p>
        </w:tc>
      </w:tr>
    </w:tbl>
    <w:p>
      <w:pPr>
        <w:pStyle w:val="102"/>
        <w:ind w:firstLine="643"/>
      </w:pPr>
      <w:bookmarkStart w:id="50" w:name="_Toc75191026"/>
      <w:r>
        <w:rPr>
          <w:rFonts w:hint="eastAsia" w:ascii="楷体_GB2312" w:hAnsi="楷体_GB2312" w:eastAsia="楷体_GB2312" w:cs="楷体_GB2312"/>
          <w:b w:val="0"/>
          <w:bCs/>
        </w:rPr>
        <w:t>（四）推动热带特色高效农业高效化转型</w:t>
      </w:r>
      <w:bookmarkEnd w:id="50"/>
    </w:p>
    <w:p>
      <w:pPr>
        <w:pStyle w:val="79"/>
        <w:ind w:firstLine="640"/>
      </w:pPr>
      <w:r>
        <w:rPr>
          <w:rFonts w:hint="eastAsia"/>
        </w:rPr>
        <w:t>聚焦生态循环农业、热带科技农业、都市观光农业等方向，推动热带特色农业生态化、高效化、景观化发展，加强农业领域国际开放合作，打造海南农业现代化转型标杆与全国农业高效发展示范。围绕热带高效种植业、畜牧业、渔业、农业配套与基础设施这四个重点领域，以科技促进三亚农业发展由数量导向转向质量导向。围绕崖州湾科技城，落实国家战略，大力推进南繁育种业产学研转化。招揽农业贸易和品牌推广公司，打响一批三亚热带高效农业特色品牌。加快培育健康农业龙头企业，鼓励农垦集团、大型健康食品加工出口企业加大研发投入，推动高附加值产品开发种植。培育产销对接主体，延伸销售链条，引入渠道供应商，扩大农产品销售市场。</w:t>
      </w:r>
    </w:p>
    <w:p>
      <w:pPr>
        <w:pStyle w:val="104"/>
        <w:ind w:firstLine="643"/>
        <w:rPr>
          <w:rFonts w:hint="eastAsia"/>
          <w:b w:val="0"/>
          <w:bCs/>
        </w:rPr>
      </w:pPr>
      <w:bookmarkStart w:id="51" w:name="_Toc69925816"/>
      <w:r>
        <w:rPr>
          <w:rFonts w:hint="eastAsia"/>
          <w:b w:val="0"/>
          <w:bCs/>
        </w:rPr>
        <w:t>1.增强南繁育种产业实力，打造“国家南繁硅谷”</w:t>
      </w:r>
      <w:bookmarkEnd w:id="51"/>
    </w:p>
    <w:p>
      <w:pPr>
        <w:pStyle w:val="79"/>
        <w:ind w:firstLine="640"/>
      </w:pPr>
      <w:r>
        <w:rPr>
          <w:rFonts w:hint="eastAsia"/>
        </w:rPr>
        <w:t>围绕国家粮食生产及安全保障需要和全球种业创新前沿，加快南繁科技城、全球动植物种质资源引进中转基地、崖州湾种子国家实验室等一系列重大项目建设。深度链接全球主要口岸、重大开放平台、关联产业项目和相关国际组织，带动种业全产业链招商。积极探索种业跨国交流合作模式，在新品种、新技术等领域开展国际科研与贸易合作，推动现代种业开放发展，着力打造“国家南繁硅谷”，推进国家南繁战略高质量发展。</w:t>
      </w:r>
    </w:p>
    <w:p>
      <w:pPr>
        <w:pStyle w:val="79"/>
        <w:ind w:firstLine="640"/>
      </w:pPr>
      <w:r>
        <w:rPr>
          <w:rFonts w:hint="eastAsia"/>
        </w:rPr>
        <w:t>（1）引进科研机构，为南繁育种产业夯实产业基础</w:t>
      </w:r>
    </w:p>
    <w:p>
      <w:pPr>
        <w:pStyle w:val="79"/>
        <w:ind w:firstLine="640"/>
      </w:pPr>
      <w:r>
        <w:rPr>
          <w:rFonts w:hint="eastAsia"/>
        </w:rPr>
        <w:t>围绕农作物种子科研、农作物新品种选育、农作物种质扩繁和保藏、生物技术研发、转基因农作物种子实验等重点领域，依托全球动植物种质资源引进中转基地，持续引进国内外种业企业、农业科研院所和高等院校。积极引进国内外学校、企业、研究所等种业领域合同研究组织，建立育种研发外包服务平台，为企业提供创新育种理论、方法和技术的研发、种质资源系谱整理与育种管理平台构建、产量试验数据分析等外包服务，鼓励企业部分委托第三方机构进行研发工作，根据企业自身需求定制研发内容并完善科研体系，提升研发效率。积极筹备“中国种子大会暨南繁硅谷论坛”等国际化交流活动，在引进国际先进种业技术的同时，帮助中国南繁种业“走出去”，推动种业国际科研合作与贸易交流平台的建设。</w:t>
      </w:r>
    </w:p>
    <w:p>
      <w:pPr>
        <w:pStyle w:val="79"/>
        <w:ind w:firstLine="640"/>
      </w:pPr>
      <w:r>
        <w:rPr>
          <w:rFonts w:hint="eastAsia"/>
        </w:rPr>
        <w:t>（2）引进专业技术企业，促进南繁科创成果转化</w:t>
      </w:r>
    </w:p>
    <w:p>
      <w:pPr>
        <w:pStyle w:val="79"/>
        <w:ind w:firstLine="640"/>
      </w:pPr>
      <w:r>
        <w:rPr>
          <w:rFonts w:hint="eastAsia"/>
        </w:rPr>
        <w:t>优化生物资源及其他特殊样本库收集、保存和发掘利用服务，生物信息系统和数据库的建立、维护和发掘利用服务，引进生物样本库与生物信息技术企业。招揽基因测序、药物筛选、实验动物模型、规模化动植物转基因等方面的专业技术服务机构与企业。完善实验室仪器设备与试剂的供应、维护和检测监测服务，引进相关服务商。引进专业为生物安全实验室、GMP生产车间的设计、建造、维护、报批和监控服务的相关企业。引进一批国际法规咨询服务机构或设立国际法规咨询平台，做好南繁企业的法律法规保障服务。</w:t>
      </w:r>
    </w:p>
    <w:p>
      <w:pPr>
        <w:pStyle w:val="79"/>
        <w:ind w:firstLine="640"/>
      </w:pPr>
      <w:r>
        <w:rPr>
          <w:rFonts w:hint="eastAsia"/>
        </w:rPr>
        <w:t>（3）深化南繁产业国际合作</w:t>
      </w:r>
    </w:p>
    <w:p>
      <w:pPr>
        <w:pStyle w:val="79"/>
        <w:ind w:firstLine="640"/>
      </w:pPr>
      <w:r>
        <w:rPr>
          <w:rFonts w:hint="eastAsia"/>
        </w:rPr>
        <w:t>积极参与国际竞争，目标获得国际主要市场的法规批准及市场认可，将生物育种新品种推广到全球主要种植地，做大做强育种企业。加大种质资源专业检测机构引进，协助我国优质种质资源走出去的同时增强我国跨境种业服务能力，广泛开展委托检测服务，提升国际话语权。</w:t>
      </w:r>
    </w:p>
    <w:p>
      <w:pPr>
        <w:pStyle w:val="104"/>
        <w:ind w:firstLine="643"/>
        <w:rPr>
          <w:rFonts w:hint="eastAsia"/>
          <w:b w:val="0"/>
          <w:bCs/>
        </w:rPr>
      </w:pPr>
      <w:r>
        <w:rPr>
          <w:rFonts w:hint="eastAsia"/>
          <w:b w:val="0"/>
          <w:bCs/>
        </w:rPr>
        <w:t>2.建立高效生态农业示范区</w:t>
      </w:r>
    </w:p>
    <w:p>
      <w:pPr>
        <w:pStyle w:val="79"/>
        <w:ind w:firstLine="640"/>
      </w:pPr>
      <w:r>
        <w:rPr>
          <w:rFonts w:hint="eastAsia"/>
        </w:rPr>
        <w:t>（1）大力发展三亚特色种植业</w:t>
      </w:r>
    </w:p>
    <w:p>
      <w:pPr>
        <w:pStyle w:val="79"/>
        <w:ind w:firstLine="640"/>
      </w:pPr>
      <w:r>
        <w:rPr>
          <w:rFonts w:hint="eastAsia"/>
        </w:rPr>
        <w:t>结合南繁种业优势，引进荷兰易普润国际公司、哈尔滨卓感科技有限公司、以色列AKOL公司等智慧农业企业，通过农业科技的应用，持续增加优势农产品种植效率。最大化集约土地，调整三亚农业种植业产业结构。通过引入艾格农业、东方集团等现代农业综合服务提供商，引导和鼓励企业探索多元商业模式，通过农业旅游、农产品博览会、电商销售等渠道，提升三亚优势时鲜农产品知名度，打造三亚热带高效农业特色品牌。</w:t>
      </w:r>
    </w:p>
    <w:p>
      <w:pPr>
        <w:pStyle w:val="79"/>
        <w:ind w:firstLine="640"/>
      </w:pPr>
      <w:r>
        <w:rPr>
          <w:rFonts w:hint="eastAsia"/>
        </w:rPr>
        <w:t>（2）助力本地特色畜牧业提质转型</w:t>
      </w:r>
    </w:p>
    <w:p>
      <w:pPr>
        <w:pStyle w:val="79"/>
        <w:ind w:firstLine="640"/>
      </w:pPr>
      <w:r>
        <w:rPr>
          <w:rFonts w:hint="eastAsia"/>
        </w:rPr>
        <w:t>引入外资加速本地畜牧企业提质转型。争取引进一批国内外优质畜牧龙头企业，开展育种、养殖、动物保健先进养殖业发展，探索热带畜牧业商业化模式。</w:t>
      </w:r>
    </w:p>
    <w:p>
      <w:pPr>
        <w:pStyle w:val="79"/>
        <w:ind w:firstLine="640"/>
      </w:pPr>
      <w:r>
        <w:rPr>
          <w:rFonts w:hint="eastAsia"/>
        </w:rPr>
        <w:t>（3）促进本地特色渔业全面发展</w:t>
      </w:r>
    </w:p>
    <w:p>
      <w:pPr>
        <w:pStyle w:val="79"/>
        <w:ind w:firstLine="640"/>
      </w:pPr>
      <w:r>
        <w:rPr>
          <w:rFonts w:hint="eastAsia"/>
        </w:rPr>
        <w:t>招引深海捕捞、远洋渔业企业落地三亚，推动渔业捕捞向深海远海发展。引入国内外先进深海养殖、水产加工企业，发展特色水产种苗、深海网箱养殖、水产国际贸易和精深加工等产业，鼓励企业开展相关领域内试点业务；加快发展农旅融合休闲渔业，探索渔业旅游村企合作模式，打造崖州中心渔港休闲渔业示范区和崖州湾渔港经济区。</w:t>
      </w:r>
    </w:p>
    <w:p>
      <w:pPr>
        <w:pStyle w:val="104"/>
        <w:ind w:firstLine="643"/>
        <w:rPr>
          <w:rFonts w:hint="eastAsia"/>
          <w:b w:val="0"/>
          <w:bCs/>
        </w:rPr>
      </w:pPr>
      <w:r>
        <w:rPr>
          <w:rFonts w:hint="eastAsia"/>
          <w:b w:val="0"/>
          <w:bCs/>
        </w:rPr>
        <w:t>3.发展特色农业产品定向加工</w:t>
      </w:r>
    </w:p>
    <w:p>
      <w:pPr>
        <w:pStyle w:val="79"/>
        <w:ind w:firstLine="640"/>
      </w:pPr>
      <w:r>
        <w:rPr>
          <w:rFonts w:hint="eastAsia"/>
        </w:rPr>
        <w:t>发展农产品配套加工产业。结合自贸港优势，在坚持生态优先的前提下，招引包括好想你健康食品股份有限公司、佳沃集团等农产品深加工企业，大力发展农副产品进出口及深加工产业，引导农业企业拓展产业链，提升产品附加值。规划建设与自贸港高度相匹配的规模化农业贸易中心，引进中国农产品交易有限公司等农业贸易企业落地三亚，帮助三亚热带特色高效农产品“走出去”。同时布局建设一批仓储保鲜冷链物流设施，招揽生鲜物流配送企业，为热带高效农业销售保驾护航。</w:t>
      </w:r>
    </w:p>
    <w:tbl>
      <w:tblPr>
        <w:tblStyle w:val="32"/>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8" w:type="dxa"/>
          </w:tcPr>
          <w:p>
            <w:pPr>
              <w:pStyle w:val="79"/>
              <w:ind w:firstLine="0" w:firstLineChars="0"/>
              <w:jc w:val="center"/>
            </w:pPr>
            <w:r>
              <w:rPr>
                <w:rFonts w:hint="eastAsia"/>
              </w:rPr>
              <w:t>专栏4：</w:t>
            </w:r>
            <w:r>
              <w:rPr>
                <w:rFonts w:hint="eastAsia"/>
                <w:szCs w:val="32"/>
              </w:rPr>
              <w:t>三亚市“十四五”期间热带特色高效农业产业招商引资发展路径——以南繁育种业为例</w:t>
            </w:r>
          </w:p>
          <w:p>
            <w:pPr>
              <w:pStyle w:val="79"/>
              <w:ind w:firstLine="640"/>
            </w:pPr>
            <w:r>
              <w:rPr>
                <w:rFonts w:hint="eastAsia"/>
              </w:rPr>
              <w:t>（1）南繁种业发展基础</w:t>
            </w:r>
          </w:p>
          <w:p>
            <w:pPr>
              <w:pStyle w:val="79"/>
              <w:ind w:firstLine="640"/>
            </w:pPr>
            <w:r>
              <w:rPr>
                <w:rFonts w:hint="eastAsia"/>
              </w:rPr>
              <w:t>三亚发展南繁种业具备得天独厚的自然、历史基础。三亚地处热带滨海，具备优越的光条件与丰富的生物多样性。南繁已在海南经过60余年的发展，全国累计70%的农作物品种都经过南繁加代繁育，产业发展已积累深厚底蕴。</w:t>
            </w:r>
          </w:p>
          <w:p>
            <w:pPr>
              <w:pStyle w:val="79"/>
              <w:ind w:firstLine="640"/>
            </w:pPr>
            <w:r>
              <w:rPr>
                <w:rFonts w:hint="eastAsia"/>
              </w:rPr>
              <w:t>（2）产业发展政策机遇</w:t>
            </w:r>
          </w:p>
          <w:p>
            <w:pPr>
              <w:pStyle w:val="79"/>
              <w:ind w:firstLine="640"/>
            </w:pPr>
            <w:r>
              <w:rPr>
                <w:rFonts w:hint="eastAsia"/>
              </w:rPr>
              <w:t>南繁种业作为国家重大战略，已纳入海南自贸港统筹支撑体系。在</w:t>
            </w:r>
            <w:r>
              <w:rPr>
                <w:rFonts w:hint="eastAsia"/>
                <w:lang w:eastAsia="zh-CN"/>
              </w:rPr>
              <w:t>习近平总书记</w:t>
            </w:r>
            <w:r>
              <w:rPr>
                <w:rFonts w:hint="eastAsia"/>
              </w:rPr>
              <w:t>“4.13”重要讲话和中央12号文的指导下，相继落位中国科学院、中国农科院、中国热带农业科学院、中国水产科学研究院和中国农业大学等种业及关联领域顶尖科研院校，为招商工作的开展提供了重要的政策支撑。</w:t>
            </w:r>
          </w:p>
          <w:p>
            <w:pPr>
              <w:pStyle w:val="79"/>
              <w:ind w:firstLine="640"/>
            </w:pPr>
            <w:r>
              <w:rPr>
                <w:rFonts w:hint="eastAsia"/>
              </w:rPr>
              <w:t>（3）产业链目标环节</w:t>
            </w:r>
          </w:p>
          <w:p>
            <w:pPr>
              <w:pStyle w:val="79"/>
              <w:ind w:firstLine="640"/>
            </w:pPr>
            <w:r>
              <w:rPr>
                <w:rFonts w:hint="eastAsia"/>
              </w:rPr>
              <w:t>南繁科研育种基地是国家宝贵的农业科研平台，为打造完整的产业服务体系，要建成集科研、生产、销售、科技交流、成果转化为一体的服务全国的南繁硅谷。</w:t>
            </w:r>
          </w:p>
          <w:p>
            <w:pPr>
              <w:pStyle w:val="79"/>
              <w:ind w:firstLine="640"/>
            </w:pPr>
            <w:r>
              <w:rPr>
                <w:rFonts w:hint="eastAsia"/>
              </w:rPr>
              <w:t>（4）招商策略</w:t>
            </w:r>
          </w:p>
          <w:p>
            <w:pPr>
              <w:pStyle w:val="79"/>
              <w:ind w:firstLine="640"/>
            </w:pPr>
            <w:r>
              <w:rPr>
                <w:rFonts w:hint="eastAsia"/>
              </w:rPr>
              <w:t>依托南繁科技城做强做大现代种业，进一步加大种业科技创新与对外开放，建立现代种业科技创新平台，加速种业科技市场主体集聚，促进种业成果高效转化，拓展种业交易贸易，建立服务国内、面向国际的现代种业产业体系。</w:t>
            </w:r>
          </w:p>
          <w:p>
            <w:pPr>
              <w:pStyle w:val="79"/>
              <w:ind w:firstLine="640"/>
              <w:rPr>
                <w:szCs w:val="32"/>
              </w:rPr>
            </w:pPr>
            <w:r>
              <w:rPr>
                <w:rFonts w:hint="eastAsia"/>
              </w:rPr>
              <w:t>到2025年，落位一批种业及关联领域顶尖科研机构，打造科技公共服务平台达10个以上，夯实基础创新能力。以南繁科技城为核心枢纽，高效联动引进中转基地与国家南繁科研育种基地，深度链接全球主要口岸、重大开放平台、关联产业项目和相关国际组织，实现要素集聚与开放交流。稳步推进。</w:t>
            </w:r>
          </w:p>
        </w:tc>
      </w:tr>
    </w:tbl>
    <w:p>
      <w:pPr>
        <w:ind w:firstLine="640"/>
      </w:pPr>
    </w:p>
    <w:p>
      <w:pPr>
        <w:pStyle w:val="102"/>
        <w:ind w:firstLine="643"/>
        <w:rPr>
          <w:rFonts w:hint="eastAsia" w:ascii="楷体_GB2312" w:hAnsi="楷体_GB2312" w:eastAsia="楷体_GB2312" w:cs="楷体_GB2312"/>
          <w:b w:val="0"/>
          <w:bCs/>
        </w:rPr>
      </w:pPr>
      <w:bookmarkStart w:id="52" w:name="_Toc75191027"/>
      <w:r>
        <w:rPr>
          <w:rFonts w:hint="eastAsia" w:ascii="楷体_GB2312" w:hAnsi="楷体_GB2312" w:eastAsia="楷体_GB2312" w:cs="楷体_GB2312"/>
          <w:b w:val="0"/>
          <w:bCs/>
        </w:rPr>
        <w:t>（五）深化自贸港对内对外合作</w:t>
      </w:r>
      <w:bookmarkEnd w:id="52"/>
    </w:p>
    <w:p>
      <w:pPr>
        <w:pStyle w:val="104"/>
        <w:ind w:firstLine="643"/>
        <w:rPr>
          <w:rFonts w:hint="eastAsia"/>
          <w:b w:val="0"/>
          <w:bCs/>
        </w:rPr>
      </w:pPr>
      <w:r>
        <w:rPr>
          <w:rFonts w:hint="eastAsia"/>
          <w:b w:val="0"/>
          <w:bCs/>
        </w:rPr>
        <w:t>1.对内开放</w:t>
      </w:r>
    </w:p>
    <w:p>
      <w:pPr>
        <w:pStyle w:val="79"/>
        <w:ind w:firstLine="640"/>
      </w:pPr>
      <w:r>
        <w:rPr>
          <w:rFonts w:hint="eastAsia"/>
        </w:rPr>
        <w:t>（1）加强粤港澳地区招商投资合作</w:t>
      </w:r>
    </w:p>
    <w:p>
      <w:pPr>
        <w:pStyle w:val="79"/>
        <w:ind w:firstLine="640"/>
      </w:pPr>
      <w:r>
        <w:rPr>
          <w:rFonts w:hint="eastAsia"/>
        </w:rPr>
        <w:t>立足自贸港建设和区域全面经济伙伴关系协定（RCEP）的背景，围绕“三亚—粤港澳大湾区”3小时经济圈，与深圳、广州建立城市间对接合作机制，主动对接粤港澳大湾区，推动港澳台侨交流合作。充分利用粤港澳地区合作与发展论坛，积极参加经贸洽谈会，加大与粤港澳地区的交流合作，积极主动融入粤港澳大湾区建设中，不断深化琼港、琼澳的务实合作。充分利用专业机构和龙头企业的作用，引入科技企业孵化器等创新载体、第三方评估机构和行业协会，以打造服务型自贸港为导向，开展专业化招商、产业链招商、以商招商。推动一批产业层次高、带动能力强的粤港澳项目落地，力争新设粤港澳投资企业实现数量、质量“双提升”。</w:t>
      </w:r>
    </w:p>
    <w:p>
      <w:pPr>
        <w:pStyle w:val="79"/>
        <w:ind w:firstLine="640"/>
      </w:pPr>
      <w:r>
        <w:rPr>
          <w:rFonts w:hint="eastAsia"/>
        </w:rPr>
        <w:t>（2）提升与长三角地区的招商经济合作</w:t>
      </w:r>
    </w:p>
    <w:p>
      <w:pPr>
        <w:pStyle w:val="79"/>
        <w:ind w:firstLine="640"/>
      </w:pPr>
      <w:r>
        <w:rPr>
          <w:rFonts w:hint="eastAsia"/>
        </w:rPr>
        <w:t>长三角和长江经济带是经济发展中心，全球金融中心，承担全球资源配置功能。海南作为我国最大的经济特区，全球开放门户，是新时代全面深化改革的新标杆，三亚应承接海南自贸港政策与“大三亚”经济圈的建设契机，加强与长三角地区在金融创新、教育、医疗健康、文化等方面的经济和招商合作。借力海南自贸港政策东风，结合三亚在跨境支付领域的流量优势，以跨境支付为轴心，以支付数据为基点，招引金融科技产业在三亚发展。支持三亚高校在海洋科学、作物学等重点领域吸引长三角区域高校的实验室、研究机构前来交流合作，为海洋经济示范区、海洋科技合作区建设提供智力和人才支撑。</w:t>
      </w:r>
    </w:p>
    <w:p>
      <w:pPr>
        <w:pStyle w:val="79"/>
        <w:ind w:firstLine="640"/>
      </w:pPr>
      <w:r>
        <w:rPr>
          <w:rFonts w:hint="eastAsia"/>
        </w:rPr>
        <w:t>（3）挖掘与京津冀地区招商合作潜力</w:t>
      </w:r>
    </w:p>
    <w:p>
      <w:pPr>
        <w:pStyle w:val="79"/>
        <w:ind w:firstLine="640"/>
      </w:pPr>
      <w:r>
        <w:rPr>
          <w:rFonts w:hint="eastAsia"/>
        </w:rPr>
        <w:t>三亚是海南省中心城市，而天津作为北方港口城市、经济中心，一南一北代表了中国一带一路上两个重要的战略犄角。三亚将推进与京津冀地区的招商协同发展，谋求京津冀地区的高新科技产业技术资源和人才资源在三亚实现转移和对接。借助航运物流、海洋科技等共通产业，探索与京津冀合作的机会，实现跨区域之间产业的互补优势，招商互补。发掘南北两地在旅游业、健康服务业等重点产业的季节性产品优势，进一步开拓不同产业、不同领域之间的合作潜力。</w:t>
      </w:r>
    </w:p>
    <w:p>
      <w:pPr>
        <w:pStyle w:val="79"/>
        <w:ind w:firstLine="640"/>
      </w:pPr>
      <w:r>
        <w:rPr>
          <w:rFonts w:hint="eastAsia"/>
        </w:rPr>
        <w:t>（4）探索与中西部地区的招商合作机制</w:t>
      </w:r>
    </w:p>
    <w:p>
      <w:pPr>
        <w:pStyle w:val="79"/>
        <w:ind w:firstLine="640"/>
        <w:rPr>
          <w:rFonts w:hint="eastAsia"/>
        </w:rPr>
      </w:pPr>
      <w:r>
        <w:rPr>
          <w:rFonts w:hint="eastAsia"/>
        </w:rPr>
        <w:t>中西部地区的长江中游城市群承东启西、连南接北，是长江经济带的重要组成部分，在我国区域发展格局中占有重要地位。以武汉、成渝、西安为主的中西部地区占据了长江经济带的要道，是海南自贸港面向中部地区进行招商互动与合作的重要城市。依托西安正在推进的国际科技合作基地，三亚将探寻在生物医药、现代农业等方面与西安的合作机会，如在三亚设置西安国际合作企业研发中心的实践基地，吸引优秀创新企业前来三亚进行共同孵化。依托武汉对高科技新兴产业的研究力量和创新实践展示平台和渠道，三亚就产学研一体化与武汉的研究机构与企业形成良性互动，吸引有潜力的初创企业落地三亚进行孵化培育。依托成渝地区西部科学城和天然药物与临床转化综合研究平台，针对三亚大健康产业与其进行合作互动，精准招商。</w:t>
      </w:r>
    </w:p>
    <w:p>
      <w:pPr>
        <w:pStyle w:val="79"/>
        <w:ind w:firstLine="0" w:firstLineChars="0"/>
        <w:jc w:val="center"/>
      </w:pPr>
      <w:r>
        <w:rPr>
          <w:rFonts w:hint="eastAsia"/>
        </w:rPr>
        <w:t>表1、国内主要地区合作产业与模式</w:t>
      </w:r>
    </w:p>
    <w:tbl>
      <w:tblPr>
        <w:tblStyle w:val="31"/>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4079"/>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825"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b/>
                <w:bCs/>
                <w:szCs w:val="28"/>
              </w:rPr>
            </w:pPr>
            <w:r>
              <w:rPr>
                <w:rFonts w:hint="eastAsia" w:ascii="仿宋_GB2312" w:hAnsi="宋体" w:eastAsia="仿宋_GB2312"/>
                <w:b/>
                <w:bCs/>
                <w:szCs w:val="28"/>
              </w:rPr>
              <w:t>地</w:t>
            </w:r>
            <w:r>
              <w:rPr>
                <w:rFonts w:ascii="仿宋_GB2312" w:hAnsi="宋体" w:eastAsia="仿宋_GB2312"/>
                <w:b/>
                <w:bCs/>
                <w:szCs w:val="28"/>
              </w:rPr>
              <w:t>区</w:t>
            </w:r>
          </w:p>
        </w:tc>
        <w:tc>
          <w:tcPr>
            <w:tcW w:w="4079"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b/>
                <w:bCs/>
                <w:szCs w:val="28"/>
              </w:rPr>
            </w:pPr>
            <w:r>
              <w:rPr>
                <w:rFonts w:ascii="仿宋_GB2312" w:hAnsi="宋体" w:eastAsia="仿宋_GB2312"/>
                <w:b/>
                <w:bCs/>
                <w:szCs w:val="28"/>
              </w:rPr>
              <w:t>优势产业</w:t>
            </w:r>
          </w:p>
        </w:tc>
        <w:tc>
          <w:tcPr>
            <w:tcW w:w="2924"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b/>
                <w:bCs/>
                <w:szCs w:val="28"/>
              </w:rPr>
            </w:pPr>
            <w:r>
              <w:rPr>
                <w:rFonts w:ascii="仿宋_GB2312" w:hAnsi="宋体" w:eastAsia="仿宋_GB2312"/>
                <w:b/>
                <w:bCs/>
                <w:szCs w:val="28"/>
              </w:rPr>
              <w:t>合作模式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825"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ascii="仿宋_GB2312" w:hAnsi="宋体" w:eastAsia="仿宋_GB2312"/>
                <w:szCs w:val="28"/>
              </w:rPr>
              <w:t>粤港澳</w:t>
            </w:r>
          </w:p>
        </w:tc>
        <w:tc>
          <w:tcPr>
            <w:tcW w:w="4079"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香港：金融服务业</w:t>
            </w:r>
            <w:r>
              <w:rPr>
                <w:rFonts w:ascii="仿宋_GB2312" w:hAnsi="宋体" w:eastAsia="仿宋_GB2312"/>
                <w:szCs w:val="28"/>
              </w:rPr>
              <w:br w:type="textWrapping"/>
            </w:r>
            <w:r>
              <w:rPr>
                <w:rFonts w:ascii="仿宋_GB2312" w:hAnsi="宋体" w:eastAsia="仿宋_GB2312"/>
                <w:szCs w:val="28"/>
              </w:rPr>
              <w:t>澳门：旅游业</w:t>
            </w:r>
            <w:r>
              <w:rPr>
                <w:rFonts w:ascii="仿宋_GB2312" w:hAnsi="宋体" w:eastAsia="仿宋_GB2312"/>
                <w:szCs w:val="28"/>
              </w:rPr>
              <w:br w:type="textWrapping"/>
            </w:r>
            <w:r>
              <w:rPr>
                <w:rFonts w:ascii="仿宋_GB2312" w:hAnsi="宋体" w:eastAsia="仿宋_GB2312"/>
                <w:szCs w:val="28"/>
              </w:rPr>
              <w:t>深圳市：电子信息业</w:t>
            </w:r>
            <w:r>
              <w:rPr>
                <w:rFonts w:ascii="仿宋_GB2312" w:hAnsi="宋体" w:eastAsia="仿宋_GB2312"/>
                <w:szCs w:val="28"/>
              </w:rPr>
              <w:br w:type="textWrapping"/>
            </w:r>
            <w:r>
              <w:rPr>
                <w:rFonts w:ascii="仿宋_GB2312" w:hAnsi="宋体" w:eastAsia="仿宋_GB2312"/>
                <w:szCs w:val="28"/>
              </w:rPr>
              <w:t>肇庆市：现代农业产业</w:t>
            </w:r>
            <w:r>
              <w:rPr>
                <w:rFonts w:ascii="仿宋_GB2312" w:hAnsi="宋体" w:eastAsia="仿宋_GB2312"/>
                <w:szCs w:val="28"/>
              </w:rPr>
              <w:br w:type="textWrapping"/>
            </w:r>
            <w:r>
              <w:rPr>
                <w:rFonts w:ascii="仿宋_GB2312" w:hAnsi="宋体" w:eastAsia="仿宋_GB2312"/>
                <w:szCs w:val="28"/>
              </w:rPr>
              <w:t>江门市：海洋装备业</w:t>
            </w:r>
          </w:p>
        </w:tc>
        <w:tc>
          <w:tcPr>
            <w:tcW w:w="2924"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经贸洽谈、创业孵化、产业对接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25"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ascii="仿宋_GB2312" w:hAnsi="宋体" w:eastAsia="仿宋_GB2312"/>
                <w:szCs w:val="28"/>
              </w:rPr>
              <w:t>长三角</w:t>
            </w:r>
          </w:p>
        </w:tc>
        <w:tc>
          <w:tcPr>
            <w:tcW w:w="4079"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上海：金融服务业、商业服务业</w:t>
            </w:r>
            <w:r>
              <w:rPr>
                <w:rFonts w:ascii="仿宋_GB2312" w:hAnsi="宋体" w:eastAsia="仿宋_GB2312"/>
                <w:szCs w:val="28"/>
              </w:rPr>
              <w:br w:type="textWrapping"/>
            </w:r>
            <w:r>
              <w:rPr>
                <w:rFonts w:ascii="仿宋_GB2312" w:hAnsi="宋体" w:eastAsia="仿宋_GB2312"/>
                <w:szCs w:val="28"/>
              </w:rPr>
              <w:t>苏州市：生物医药业</w:t>
            </w:r>
            <w:r>
              <w:rPr>
                <w:rFonts w:ascii="仿宋_GB2312" w:hAnsi="宋体" w:eastAsia="仿宋_GB2312"/>
                <w:szCs w:val="28"/>
              </w:rPr>
              <w:br w:type="textWrapping"/>
            </w:r>
            <w:r>
              <w:rPr>
                <w:rFonts w:ascii="仿宋_GB2312" w:hAnsi="宋体" w:eastAsia="仿宋_GB2312"/>
                <w:szCs w:val="28"/>
              </w:rPr>
              <w:t>杭州市：人工智能、互联网产业</w:t>
            </w:r>
          </w:p>
        </w:tc>
        <w:tc>
          <w:tcPr>
            <w:tcW w:w="2924"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校企创新合作、引才引智、经贸洽谈、产业对接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25"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ascii="仿宋_GB2312" w:hAnsi="宋体" w:eastAsia="仿宋_GB2312"/>
                <w:szCs w:val="28"/>
              </w:rPr>
              <w:t>京津冀</w:t>
            </w:r>
          </w:p>
        </w:tc>
        <w:tc>
          <w:tcPr>
            <w:tcW w:w="4079"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北京市：互联网产业、医疗服务</w:t>
            </w:r>
            <w:r>
              <w:rPr>
                <w:rFonts w:ascii="仿宋_GB2312" w:hAnsi="宋体" w:eastAsia="仿宋_GB2312"/>
                <w:szCs w:val="28"/>
              </w:rPr>
              <w:br w:type="textWrapping"/>
            </w:r>
            <w:r>
              <w:rPr>
                <w:rFonts w:ascii="仿宋_GB2312" w:hAnsi="宋体" w:eastAsia="仿宋_GB2312"/>
                <w:szCs w:val="28"/>
              </w:rPr>
              <w:t>天津市：航运物流、海洋科技</w:t>
            </w:r>
          </w:p>
        </w:tc>
        <w:tc>
          <w:tcPr>
            <w:tcW w:w="2924"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资源导入、经贸洽谈、技术转移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25"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ascii="仿宋_GB2312" w:hAnsi="宋体" w:eastAsia="仿宋_GB2312"/>
                <w:szCs w:val="28"/>
              </w:rPr>
              <w:t>中西部</w:t>
            </w:r>
          </w:p>
        </w:tc>
        <w:tc>
          <w:tcPr>
            <w:tcW w:w="4079"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西安市：生物医药、现代农业</w:t>
            </w:r>
            <w:r>
              <w:rPr>
                <w:rFonts w:ascii="仿宋_GB2312" w:hAnsi="宋体" w:eastAsia="仿宋_GB2312"/>
                <w:szCs w:val="28"/>
              </w:rPr>
              <w:br w:type="textWrapping"/>
            </w:r>
            <w:r>
              <w:rPr>
                <w:rFonts w:ascii="仿宋_GB2312" w:hAnsi="宋体" w:eastAsia="仿宋_GB2312"/>
                <w:szCs w:val="28"/>
              </w:rPr>
              <w:t>武汉市：高科技新兴产业</w:t>
            </w:r>
            <w:r>
              <w:rPr>
                <w:rFonts w:ascii="仿宋_GB2312" w:hAnsi="宋体" w:eastAsia="仿宋_GB2312"/>
                <w:szCs w:val="28"/>
              </w:rPr>
              <w:br w:type="textWrapping"/>
            </w:r>
            <w:r>
              <w:rPr>
                <w:rFonts w:ascii="仿宋_GB2312" w:hAnsi="宋体" w:eastAsia="仿宋_GB2312"/>
                <w:szCs w:val="28"/>
              </w:rPr>
              <w:t>成都市：生物制药、医疗服务</w:t>
            </w:r>
          </w:p>
        </w:tc>
        <w:tc>
          <w:tcPr>
            <w:tcW w:w="2924"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ascii="仿宋_GB2312" w:hAnsi="宋体" w:eastAsia="仿宋_GB2312"/>
                <w:szCs w:val="28"/>
              </w:rPr>
              <w:t>产学研合作、创业孵化、技术转移</w:t>
            </w:r>
          </w:p>
        </w:tc>
      </w:tr>
    </w:tbl>
    <w:p>
      <w:pPr>
        <w:pStyle w:val="104"/>
        <w:ind w:firstLine="643"/>
      </w:pPr>
      <w:r>
        <w:rPr>
          <w:rFonts w:hint="eastAsia"/>
          <w:b w:val="0"/>
          <w:bCs/>
        </w:rPr>
        <w:t>2.对外开放</w:t>
      </w:r>
    </w:p>
    <w:p>
      <w:pPr>
        <w:pStyle w:val="79"/>
        <w:ind w:firstLine="640"/>
      </w:pPr>
      <w:r>
        <w:rPr>
          <w:rFonts w:hint="eastAsia"/>
        </w:rPr>
        <w:t>加大外资“引进来”工作力度。牢固树立开放发展的理念，适应经济全球化和我国扩大开放的新形势，把利用外资作为对外开放和招商引资的重点任务统筹推进，加大利用外资招商引资力度。在巩固和扩大利用外资规模的基础上，注重引进先进技术、管理理念和人才队伍，提升利用外资综合质量。发挥涉外招商团队对外联系广泛的优势，加强与各行业协会、企业和高管合作，利用中介机构在信息渠道方面的优势，开发外资企业“以商招商”作用，统筹整合各方力量，共同推进开放招商。充分利用国内外知名的投资贸易合作平台并借助我驻外使领馆、当地华商组织，以及境内外知名专业服务机构丰富的全球数据资源和人脉资源，加强对海南政策优势、区位优势、资源优势、成本优势和人文优势等营商环境的宣传推介力度，制定精准招商策略，吸引更多优质外商投资者。</w:t>
      </w:r>
    </w:p>
    <w:p>
      <w:pPr>
        <w:pStyle w:val="79"/>
        <w:ind w:firstLine="640"/>
      </w:pPr>
      <w:r>
        <w:rPr>
          <w:rFonts w:hint="eastAsia"/>
        </w:rPr>
        <w:t>加大海南“走出去”招商力度。进一步加大赴境外开展外资招商活动的力度，主动与外资中介机构、知名国际商协会、侨台组织对接，了解企业投资意向和信息。每年组织若干批次由领导带队或小分队出访的外资精准招商活动，引进一批世界500强及行业领军企业，推进促成一批外资在谈及合同项目，并做好项目储备。按照精准招商要求做好年度赴境外招商团组计划申报工作，各上级部门对招商活动出访团组参照外事及商务出访规定，在计划审批、出访人员、出访次数等方面给予适当放宽，在出访政策等方面给予积极指导。</w:t>
      </w:r>
    </w:p>
    <w:p>
      <w:pPr>
        <w:pStyle w:val="79"/>
        <w:ind w:firstLine="640"/>
      </w:pPr>
      <w:r>
        <w:rPr>
          <w:rFonts w:hint="eastAsia"/>
        </w:rPr>
        <w:t>（1）加强与东盟国家招商合作关系</w:t>
      </w:r>
    </w:p>
    <w:p>
      <w:pPr>
        <w:pStyle w:val="79"/>
        <w:ind w:firstLine="640"/>
      </w:pPr>
      <w:r>
        <w:rPr>
          <w:rFonts w:hint="eastAsia"/>
        </w:rPr>
        <w:t>东盟国家内部产业结构各有特点，新加坡的优势产业有金融业、生物制药、电子工业、宇航工程</w:t>
      </w:r>
      <w:r>
        <w:rPr>
          <w:rFonts w:hint="eastAsia"/>
          <w:lang w:eastAsia="zh-CN"/>
        </w:rPr>
        <w:t>；</w:t>
      </w:r>
      <w:r>
        <w:rPr>
          <w:rFonts w:hint="eastAsia"/>
        </w:rPr>
        <w:t>泰国、马来西亚旅游业发达</w:t>
      </w:r>
      <w:r>
        <w:rPr>
          <w:rFonts w:hint="eastAsia"/>
          <w:lang w:eastAsia="zh-CN"/>
        </w:rPr>
        <w:t>；</w:t>
      </w:r>
      <w:r>
        <w:rPr>
          <w:rFonts w:hint="eastAsia"/>
        </w:rPr>
        <w:t>印尼、菲律宾矿产资源丰富</w:t>
      </w:r>
      <w:r>
        <w:rPr>
          <w:rFonts w:hint="eastAsia"/>
          <w:lang w:eastAsia="zh-CN"/>
        </w:rPr>
        <w:t>；</w:t>
      </w:r>
      <w:r>
        <w:rPr>
          <w:rFonts w:hint="eastAsia"/>
        </w:rPr>
        <w:t>越南近几年工业迅猛发展</w:t>
      </w:r>
      <w:r>
        <w:rPr>
          <w:rFonts w:hint="eastAsia"/>
          <w:lang w:eastAsia="zh-CN"/>
        </w:rPr>
        <w:t>；</w:t>
      </w:r>
      <w:r>
        <w:rPr>
          <w:rFonts w:hint="eastAsia"/>
        </w:rPr>
        <w:t>文莱石油和天然气资源丰富</w:t>
      </w:r>
      <w:r>
        <w:rPr>
          <w:rFonts w:hint="eastAsia"/>
          <w:lang w:eastAsia="zh-CN"/>
        </w:rPr>
        <w:t>；</w:t>
      </w:r>
      <w:r>
        <w:rPr>
          <w:rFonts w:hint="eastAsia"/>
        </w:rPr>
        <w:t>缅甸、越南、老挝、柬埔寨有丰富的劳动力资源。三亚依托与东盟国家地理位置接近、地缘文化相通、互联互通便利、合作基础广泛的优势，强化与东盟国家的经济合作关系，重点将海南自由贸易港打造成为中国与东南亚国家深化合作的重要枢纽，招引企业在海南落地面向东南亚的区域总部，打造面向东南亚的热带农产品保鲜、加工、储藏基地，加强与东南亚国家在医疗健康和旅游方面的交流和协作，拓展“健康丝绸之路”。通过聚焦新加坡等国家，主动对接大华商、大侨商，推动产业深度对接，在合作机制、工作模式等方面达成共识。</w:t>
      </w:r>
    </w:p>
    <w:p>
      <w:pPr>
        <w:pStyle w:val="79"/>
        <w:ind w:firstLine="640"/>
      </w:pPr>
      <w:r>
        <w:rPr>
          <w:rFonts w:hint="eastAsia"/>
        </w:rPr>
        <w:t>（2）寻求与欧盟国家产业招商合作契机</w:t>
      </w:r>
    </w:p>
    <w:p>
      <w:pPr>
        <w:pStyle w:val="79"/>
        <w:ind w:firstLine="640"/>
      </w:pPr>
      <w:r>
        <w:rPr>
          <w:rFonts w:hint="eastAsia"/>
        </w:rPr>
        <w:t>围绕海洋、农业、旅游等产业，加强欧盟与三亚在招商方面的往来与合作，促进双边在商业方面的紧密合作。依托产业合作示范园，促进与欧盟合作示范区或重大合作平台建设，为欧盟投资者提供国际化、高水平的招商引资平台和载体。运用市场化手段不断创新招商引资方式方法，鼓励外商在本市设立企业研发中心，带来先进技术、人才和资本。借助第三方机构的资源和信息渠道优势，深入了解欧盟企业的发展战略和投资计划，有针对性地开发项目，主动对接目标企业。吸引欧盟国家在三亚设立贸易投资促进分支机构，加强双方贸促机构的对接和合作。</w:t>
      </w:r>
    </w:p>
    <w:p>
      <w:pPr>
        <w:pStyle w:val="79"/>
        <w:ind w:firstLine="640"/>
      </w:pPr>
      <w:r>
        <w:rPr>
          <w:rFonts w:hint="eastAsia"/>
        </w:rPr>
        <w:t>（3）推进与以色列优势产业招商合作</w:t>
      </w:r>
    </w:p>
    <w:p>
      <w:pPr>
        <w:pStyle w:val="79"/>
        <w:ind w:firstLine="640"/>
      </w:pPr>
      <w:r>
        <w:rPr>
          <w:rFonts w:hint="eastAsia"/>
        </w:rPr>
        <w:t>以色列在人工智能、生物医疗、教育及农业灌溉等领域的创新技术优势明显，而三亚崖州湾科技城政策和产业空间资源独特，孵化和综合环境卓越。通过凝聚两方之力，导入国际产业要素，推进建设海南-以色列科技成果转化中心，促进崖州湾科技城“一港三城一基地”建设，招引新兴科技产业集聚，实现资源共享、互利共赢，促进三亚与以色列企业经贸合作的互联互通。</w:t>
      </w:r>
    </w:p>
    <w:p>
      <w:pPr>
        <w:pStyle w:val="79"/>
        <w:ind w:firstLine="640"/>
      </w:pPr>
      <w:r>
        <w:rPr>
          <w:rFonts w:hint="eastAsia"/>
        </w:rPr>
        <w:t>（4）加深与日韩、中东、俄罗斯等国家招商合作力度</w:t>
      </w:r>
    </w:p>
    <w:p>
      <w:pPr>
        <w:pStyle w:val="79"/>
        <w:ind w:firstLine="640"/>
      </w:pPr>
      <w:r>
        <w:rPr>
          <w:rFonts w:hint="eastAsia"/>
        </w:rPr>
        <w:t>围绕医疗健康、化工、汽车轻量化等方面不断深化日韩方面的合作，加强与日本、韩国的经贸往来，主动与世界500强、行业领军企业开展战略招商合作。与中东地区开展全面招商合作，推进在直接商品贸易、高新技术投资、基础设施建设、新兴产业孵化等领域的项目对接。就工业、金融、农业等方面，布局国际业务，发挥渠道优势，通过在境内设立他国金融分支机构和代表处，打通招商合作渠道，探索与俄罗斯及远东地区国家合作的可能性，同时，延伸和挖掘与俄罗斯高校间互学互鉴、共同发展的有效机制与路径。</w:t>
      </w:r>
    </w:p>
    <w:p>
      <w:pPr>
        <w:pStyle w:val="79"/>
        <w:ind w:firstLine="0" w:firstLineChars="0"/>
        <w:jc w:val="center"/>
      </w:pPr>
      <w:r>
        <w:rPr>
          <w:rFonts w:hint="eastAsia"/>
        </w:rPr>
        <w:t>表2、国际主要地区合作产业与模式</w:t>
      </w:r>
    </w:p>
    <w:tbl>
      <w:tblPr>
        <w:tblStyle w:val="31"/>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04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838"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b/>
                <w:bCs/>
                <w:szCs w:val="28"/>
              </w:rPr>
            </w:pPr>
            <w:r>
              <w:rPr>
                <w:rFonts w:hint="eastAsia" w:ascii="仿宋_GB2312" w:hAnsi="宋体" w:eastAsia="仿宋_GB2312"/>
                <w:b/>
                <w:bCs/>
                <w:szCs w:val="28"/>
              </w:rPr>
              <w:t>地</w:t>
            </w:r>
            <w:r>
              <w:rPr>
                <w:rFonts w:ascii="仿宋_GB2312" w:hAnsi="宋体" w:eastAsia="仿宋_GB2312"/>
                <w:b/>
                <w:bCs/>
                <w:szCs w:val="28"/>
              </w:rPr>
              <w:t>区</w:t>
            </w:r>
          </w:p>
        </w:tc>
        <w:tc>
          <w:tcPr>
            <w:tcW w:w="4047"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b/>
                <w:bCs/>
                <w:szCs w:val="28"/>
              </w:rPr>
            </w:pPr>
            <w:r>
              <w:rPr>
                <w:rFonts w:ascii="仿宋_GB2312" w:hAnsi="宋体" w:eastAsia="仿宋_GB2312"/>
                <w:b/>
                <w:bCs/>
                <w:szCs w:val="28"/>
              </w:rPr>
              <w:t>优势产业</w:t>
            </w:r>
          </w:p>
        </w:tc>
        <w:tc>
          <w:tcPr>
            <w:tcW w:w="2943"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b/>
                <w:bCs/>
                <w:szCs w:val="28"/>
              </w:rPr>
            </w:pPr>
            <w:r>
              <w:rPr>
                <w:rFonts w:ascii="仿宋_GB2312" w:hAnsi="宋体" w:eastAsia="仿宋_GB2312"/>
                <w:b/>
                <w:bCs/>
                <w:szCs w:val="28"/>
              </w:rPr>
              <w:t>合作模式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38"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hint="eastAsia" w:ascii="仿宋_GB2312" w:hAnsi="宋体" w:eastAsia="仿宋_GB2312"/>
                <w:szCs w:val="28"/>
              </w:rPr>
              <w:t>东盟</w:t>
            </w:r>
          </w:p>
        </w:tc>
        <w:tc>
          <w:tcPr>
            <w:tcW w:w="4047" w:type="dxa"/>
            <w:shd w:val="clear" w:color="auto" w:fill="auto"/>
            <w:vAlign w:val="center"/>
          </w:tcPr>
          <w:p>
            <w:pPr>
              <w:widowControl/>
              <w:adjustRightInd/>
              <w:snapToGrid/>
              <w:spacing w:after="181" w:afterLines="30" w:line="240" w:lineRule="auto"/>
              <w:ind w:firstLine="0" w:firstLineChars="0"/>
              <w:jc w:val="left"/>
              <w:rPr>
                <w:rFonts w:ascii="仿宋_GB2312" w:hAnsi="宋体" w:eastAsia="仿宋_GB2312"/>
                <w:szCs w:val="28"/>
              </w:rPr>
            </w:pPr>
            <w:r>
              <w:rPr>
                <w:rFonts w:hint="eastAsia" w:ascii="仿宋_GB2312" w:hAnsi="宋体" w:eastAsia="仿宋_GB2312"/>
                <w:szCs w:val="28"/>
              </w:rPr>
              <w:t>新加坡：金融业、生物制药、电子工业、宇航工程</w:t>
            </w:r>
          </w:p>
          <w:p>
            <w:pPr>
              <w:widowControl/>
              <w:adjustRightInd/>
              <w:snapToGrid/>
              <w:spacing w:after="181" w:afterLines="30" w:line="240" w:lineRule="auto"/>
              <w:ind w:firstLine="0" w:firstLineChars="0"/>
              <w:jc w:val="left"/>
              <w:rPr>
                <w:rFonts w:ascii="仿宋_GB2312" w:hAnsi="宋体" w:eastAsia="仿宋_GB2312"/>
                <w:szCs w:val="28"/>
              </w:rPr>
            </w:pPr>
            <w:r>
              <w:rPr>
                <w:rFonts w:hint="eastAsia" w:ascii="仿宋_GB2312" w:hAnsi="宋体" w:eastAsia="仿宋_GB2312"/>
                <w:szCs w:val="28"/>
              </w:rPr>
              <w:t>泰国、马来西亚：旅游业</w:t>
            </w:r>
          </w:p>
          <w:p>
            <w:pPr>
              <w:widowControl/>
              <w:adjustRightInd/>
              <w:snapToGrid/>
              <w:spacing w:after="181" w:afterLines="30" w:line="240" w:lineRule="auto"/>
              <w:ind w:firstLine="0" w:firstLineChars="0"/>
              <w:jc w:val="left"/>
              <w:rPr>
                <w:rFonts w:ascii="仿宋_GB2312" w:hAnsi="宋体" w:eastAsia="仿宋_GB2312"/>
                <w:szCs w:val="28"/>
              </w:rPr>
            </w:pPr>
            <w:r>
              <w:rPr>
                <w:rFonts w:hint="eastAsia" w:ascii="仿宋_GB2312" w:hAnsi="宋体" w:eastAsia="仿宋_GB2312"/>
                <w:szCs w:val="28"/>
              </w:rPr>
              <w:t>印尼、菲律宾：矿业</w:t>
            </w:r>
          </w:p>
          <w:p>
            <w:pPr>
              <w:widowControl/>
              <w:adjustRightInd/>
              <w:snapToGrid/>
              <w:spacing w:after="181" w:afterLines="30" w:line="240" w:lineRule="auto"/>
              <w:ind w:firstLine="0" w:firstLineChars="0"/>
              <w:jc w:val="left"/>
              <w:rPr>
                <w:rFonts w:ascii="仿宋_GB2312" w:hAnsi="宋体" w:eastAsia="仿宋_GB2312"/>
                <w:szCs w:val="28"/>
              </w:rPr>
            </w:pPr>
            <w:r>
              <w:rPr>
                <w:rFonts w:hint="eastAsia" w:ascii="仿宋_GB2312" w:hAnsi="宋体" w:eastAsia="仿宋_GB2312"/>
                <w:szCs w:val="28"/>
              </w:rPr>
              <w:t>越南：制造业</w:t>
            </w:r>
          </w:p>
          <w:p>
            <w:pPr>
              <w:widowControl/>
              <w:adjustRightInd/>
              <w:snapToGrid/>
              <w:spacing w:after="181" w:afterLines="30" w:line="240" w:lineRule="auto"/>
              <w:ind w:firstLine="0" w:firstLineChars="0"/>
              <w:jc w:val="left"/>
              <w:rPr>
                <w:rFonts w:ascii="仿宋_GB2312" w:hAnsi="宋体" w:eastAsia="仿宋_GB2312"/>
                <w:szCs w:val="28"/>
              </w:rPr>
            </w:pPr>
            <w:r>
              <w:rPr>
                <w:rFonts w:hint="eastAsia" w:ascii="仿宋_GB2312" w:hAnsi="宋体" w:eastAsia="仿宋_GB2312"/>
                <w:szCs w:val="28"/>
              </w:rPr>
              <w:t>文莱：石油和天然气资源</w:t>
            </w:r>
          </w:p>
          <w:p>
            <w:pPr>
              <w:widowControl/>
              <w:adjustRightInd/>
              <w:spacing w:after="20" w:line="240" w:lineRule="auto"/>
              <w:ind w:firstLine="0" w:firstLineChars="0"/>
              <w:jc w:val="left"/>
              <w:rPr>
                <w:rFonts w:ascii="仿宋_GB2312" w:hAnsi="宋体" w:eastAsia="仿宋_GB2312"/>
                <w:szCs w:val="28"/>
              </w:rPr>
            </w:pPr>
            <w:r>
              <w:rPr>
                <w:rFonts w:hint="eastAsia" w:ascii="仿宋_GB2312" w:hAnsi="宋体" w:eastAsia="仿宋_GB2312"/>
                <w:szCs w:val="28"/>
              </w:rPr>
              <w:t>缅甸、越南、老挝、柬埔寨：人力资源</w:t>
            </w:r>
          </w:p>
        </w:tc>
        <w:tc>
          <w:tcPr>
            <w:tcW w:w="2943"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hint="eastAsia" w:ascii="仿宋_GB2312" w:hAnsi="宋体" w:eastAsia="仿宋_GB2312"/>
                <w:szCs w:val="28"/>
              </w:rPr>
              <w:t>依托“一带一路”，开展产业、商贸交流和协作、主动对接大华商、大侨商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38"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hint="eastAsia" w:ascii="仿宋_GB2312" w:hAnsi="宋体" w:eastAsia="仿宋_GB2312"/>
                <w:szCs w:val="28"/>
              </w:rPr>
              <w:t>欧盟</w:t>
            </w:r>
          </w:p>
        </w:tc>
        <w:tc>
          <w:tcPr>
            <w:tcW w:w="4047"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hint="eastAsia" w:ascii="仿宋_GB2312" w:hAnsi="宋体" w:eastAsia="仿宋_GB2312"/>
                <w:szCs w:val="28"/>
              </w:rPr>
              <w:t>海洋、农业、旅游等产业</w:t>
            </w:r>
          </w:p>
        </w:tc>
        <w:tc>
          <w:tcPr>
            <w:tcW w:w="2943"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hint="eastAsia" w:ascii="仿宋_GB2312" w:hAnsi="宋体" w:eastAsia="仿宋_GB2312"/>
                <w:szCs w:val="28"/>
              </w:rPr>
              <w:t>技术、人才和资本合作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38"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hint="eastAsia" w:ascii="仿宋_GB2312" w:hAnsi="宋体" w:eastAsia="仿宋_GB2312"/>
                <w:szCs w:val="28"/>
              </w:rPr>
              <w:t>以色列</w:t>
            </w:r>
          </w:p>
        </w:tc>
        <w:tc>
          <w:tcPr>
            <w:tcW w:w="4047" w:type="dxa"/>
            <w:shd w:val="clear" w:color="auto" w:fill="auto"/>
            <w:vAlign w:val="center"/>
          </w:tcPr>
          <w:p>
            <w:pPr>
              <w:widowControl/>
              <w:adjustRightInd/>
              <w:spacing w:line="240" w:lineRule="auto"/>
              <w:ind w:firstLine="0" w:firstLineChars="0"/>
              <w:jc w:val="left"/>
              <w:rPr>
                <w:rFonts w:ascii="仿宋_GB2312" w:hAnsi="宋体" w:eastAsia="仿宋_GB2312"/>
                <w:szCs w:val="28"/>
              </w:rPr>
            </w:pPr>
            <w:r>
              <w:rPr>
                <w:rFonts w:hint="eastAsia" w:ascii="仿宋_GB2312" w:hAnsi="宋体" w:eastAsia="仿宋_GB2312"/>
                <w:szCs w:val="28"/>
              </w:rPr>
              <w:t>人工智能、生物医疗、教育及农业灌溉等</w:t>
            </w:r>
          </w:p>
        </w:tc>
        <w:tc>
          <w:tcPr>
            <w:tcW w:w="2943"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hint="eastAsia" w:ascii="仿宋_GB2312" w:hAnsi="宋体" w:eastAsia="仿宋_GB2312"/>
                <w:szCs w:val="28"/>
              </w:rPr>
              <w:t>资源导入、产学研合作、经贸合作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38" w:type="dxa"/>
            <w:shd w:val="clear" w:color="auto" w:fill="auto"/>
            <w:noWrap/>
            <w:vAlign w:val="center"/>
          </w:tcPr>
          <w:p>
            <w:pPr>
              <w:widowControl/>
              <w:adjustRightInd/>
              <w:snapToGrid/>
              <w:spacing w:line="240" w:lineRule="auto"/>
              <w:ind w:firstLine="0" w:firstLineChars="0"/>
              <w:jc w:val="center"/>
              <w:rPr>
                <w:rFonts w:ascii="仿宋_GB2312" w:hAnsi="宋体" w:eastAsia="仿宋_GB2312"/>
                <w:szCs w:val="28"/>
              </w:rPr>
            </w:pPr>
            <w:r>
              <w:rPr>
                <w:rFonts w:hint="eastAsia" w:ascii="仿宋_GB2312" w:hAnsi="宋体" w:eastAsia="仿宋_GB2312"/>
                <w:szCs w:val="28"/>
              </w:rPr>
              <w:t>日韩、中东、俄罗斯等</w:t>
            </w:r>
          </w:p>
        </w:tc>
        <w:tc>
          <w:tcPr>
            <w:tcW w:w="4047"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hint="eastAsia" w:ascii="仿宋_GB2312" w:hAnsi="宋体" w:eastAsia="仿宋_GB2312"/>
                <w:szCs w:val="28"/>
              </w:rPr>
              <w:t>日韩：汽车轻量化、医疗健康</w:t>
            </w:r>
          </w:p>
          <w:p>
            <w:pPr>
              <w:widowControl/>
              <w:adjustRightInd/>
              <w:snapToGrid/>
              <w:spacing w:line="240" w:lineRule="auto"/>
              <w:ind w:firstLine="0" w:firstLineChars="0"/>
              <w:jc w:val="left"/>
              <w:rPr>
                <w:rFonts w:ascii="仿宋_GB2312" w:hAnsi="宋体" w:eastAsia="仿宋_GB2312"/>
                <w:szCs w:val="28"/>
              </w:rPr>
            </w:pPr>
            <w:r>
              <w:rPr>
                <w:rFonts w:hint="eastAsia" w:ascii="仿宋_GB2312" w:hAnsi="宋体" w:eastAsia="仿宋_GB2312"/>
                <w:szCs w:val="28"/>
              </w:rPr>
              <w:t>中东、俄罗斯：化工、教育</w:t>
            </w:r>
          </w:p>
        </w:tc>
        <w:tc>
          <w:tcPr>
            <w:tcW w:w="2943" w:type="dxa"/>
            <w:shd w:val="clear" w:color="auto" w:fill="auto"/>
            <w:vAlign w:val="center"/>
          </w:tcPr>
          <w:p>
            <w:pPr>
              <w:widowControl/>
              <w:adjustRightInd/>
              <w:snapToGrid/>
              <w:spacing w:line="240" w:lineRule="auto"/>
              <w:ind w:firstLine="0" w:firstLineChars="0"/>
              <w:jc w:val="left"/>
              <w:rPr>
                <w:rFonts w:ascii="仿宋_GB2312" w:hAnsi="宋体" w:eastAsia="仿宋_GB2312"/>
                <w:szCs w:val="28"/>
              </w:rPr>
            </w:pPr>
            <w:r>
              <w:rPr>
                <w:rFonts w:hint="eastAsia" w:ascii="仿宋_GB2312" w:hAnsi="宋体" w:eastAsia="仿宋_GB2312"/>
                <w:szCs w:val="28"/>
              </w:rPr>
              <w:t>商贸合作、技术投资、产学研合作</w:t>
            </w:r>
          </w:p>
        </w:tc>
      </w:tr>
    </w:tbl>
    <w:p>
      <w:pPr>
        <w:pStyle w:val="102"/>
        <w:ind w:firstLine="643"/>
        <w:rPr>
          <w:rFonts w:hint="eastAsia" w:ascii="楷体_GB2312" w:hAnsi="楷体_GB2312" w:eastAsia="楷体_GB2312" w:cs="楷体_GB2312"/>
          <w:b w:val="0"/>
          <w:bCs/>
        </w:rPr>
      </w:pPr>
      <w:bookmarkStart w:id="53" w:name="_Toc69925818"/>
      <w:bookmarkStart w:id="54" w:name="_Toc75191028"/>
      <w:r>
        <w:rPr>
          <w:rFonts w:hint="eastAsia" w:ascii="楷体_GB2312" w:hAnsi="楷体_GB2312" w:eastAsia="楷体_GB2312" w:cs="楷体_GB2312"/>
          <w:b w:val="0"/>
          <w:bCs/>
        </w:rPr>
        <w:t>（六）</w:t>
      </w:r>
      <w:bookmarkEnd w:id="53"/>
      <w:r>
        <w:rPr>
          <w:rFonts w:hint="eastAsia" w:ascii="楷体_GB2312" w:hAnsi="楷体_GB2312" w:eastAsia="楷体_GB2312" w:cs="楷体_GB2312"/>
          <w:b w:val="0"/>
          <w:bCs/>
        </w:rPr>
        <w:t>完善市、区两级联动的立体化工作机制</w:t>
      </w:r>
      <w:bookmarkEnd w:id="54"/>
    </w:p>
    <w:p>
      <w:pPr>
        <w:pStyle w:val="79"/>
        <w:ind w:firstLine="640"/>
      </w:pPr>
      <w:r>
        <w:rPr>
          <w:rFonts w:hint="eastAsia"/>
        </w:rPr>
        <w:t>构建立体化招商引资工作新体系，完善招商引资工作机制。构建新型领导体系。市委市政府领导，市投资促进局统筹，市直有关部门单位积极配合。明确工作责任，充分发挥基层招商引资主观能动作用。建立项目跟进机制，细化政策协调协同机制。实现市、区两级联动，形成政府、国有企业、专业机构的合力，做好招商引资工作，推动项目有序落地，避免无序竞争，将自贸港政策优势切实转化为三亚的发展优势。</w:t>
      </w:r>
    </w:p>
    <w:p>
      <w:pPr>
        <w:pStyle w:val="104"/>
        <w:ind w:firstLine="643"/>
        <w:rPr>
          <w:rFonts w:hint="eastAsia"/>
          <w:b w:val="0"/>
          <w:bCs/>
        </w:rPr>
      </w:pPr>
      <w:bookmarkStart w:id="55" w:name="_Toc69925819"/>
      <w:r>
        <w:rPr>
          <w:rFonts w:hint="eastAsia"/>
          <w:b w:val="0"/>
          <w:bCs/>
        </w:rPr>
        <w:t>1.突出市投促局统筹作用，明确市直部门责任分工</w:t>
      </w:r>
      <w:bookmarkEnd w:id="55"/>
    </w:p>
    <w:p>
      <w:pPr>
        <w:pStyle w:val="79"/>
        <w:ind w:firstLine="640"/>
      </w:pPr>
      <w:r>
        <w:rPr>
          <w:rFonts w:hint="eastAsia"/>
        </w:rPr>
        <w:t>发挥市投促局重大招商引资项目的统筹作用。市商务局、发改委、农业农村局、科技工信局、金融发展局、旅游局等产业单位配合牵头部门推进组织招商项目、共建招商平台、共促项目落地。统计局及相关部门强化招商引资相关数据的统计和审核，将招商引资工作与产业升级工作融合对接。</w:t>
      </w:r>
    </w:p>
    <w:p>
      <w:pPr>
        <w:pStyle w:val="104"/>
        <w:ind w:firstLine="643"/>
        <w:rPr>
          <w:rFonts w:hint="eastAsia"/>
          <w:b w:val="0"/>
          <w:bCs/>
        </w:rPr>
      </w:pPr>
      <w:bookmarkStart w:id="56" w:name="_Toc69925820"/>
      <w:r>
        <w:rPr>
          <w:rFonts w:hint="eastAsia"/>
          <w:b w:val="0"/>
          <w:bCs/>
        </w:rPr>
        <w:t>2.充分整合市、区、园各级招商力量，统筹利用各级资源</w:t>
      </w:r>
      <w:bookmarkEnd w:id="56"/>
    </w:p>
    <w:p>
      <w:pPr>
        <w:pStyle w:val="79"/>
        <w:ind w:firstLine="640"/>
      </w:pPr>
      <w:r>
        <w:rPr>
          <w:rFonts w:hint="eastAsia"/>
        </w:rPr>
        <w:t>市、区、园区要建立招商引资信息报送和上下联动机制，建立重点领域项目的流转审查机制，防止区域间开展恶性竞争。鼓励市属国有企业围绕主业和经营发展的实际需要，积极参与招商引资工作。利用好市国资委-市投资促进局-市属国有企业的招商引资协调工作机制，统筹国有企业平台资源、产业形态、招商资源。</w:t>
      </w:r>
    </w:p>
    <w:p>
      <w:pPr>
        <w:pStyle w:val="104"/>
        <w:ind w:firstLine="643"/>
        <w:rPr>
          <w:rFonts w:hint="eastAsia"/>
          <w:b w:val="0"/>
          <w:bCs/>
        </w:rPr>
      </w:pPr>
      <w:bookmarkStart w:id="57" w:name="_Toc69925821"/>
      <w:r>
        <w:rPr>
          <w:rFonts w:hint="eastAsia"/>
          <w:b w:val="0"/>
          <w:bCs/>
        </w:rPr>
        <w:t>3.明确责任主体，落实各招商引资主体职责</w:t>
      </w:r>
      <w:bookmarkEnd w:id="57"/>
    </w:p>
    <w:p>
      <w:pPr>
        <w:pStyle w:val="79"/>
        <w:ind w:firstLine="640"/>
      </w:pPr>
      <w:r>
        <w:rPr>
          <w:rFonts w:hint="eastAsia"/>
        </w:rPr>
        <w:t>明确市政府主要领导在本区域招商引资工作中的首要担责角色，明确招商引资工作在本市经济发展和产业转型升级的重要作用，各责任主体协同创新招商引资新模式。和企业签约后，各责任单位按照市政府公文认领各自任务并对接企业，市委督查室按期督查招商引资进程与问题，各部门主动提供上门服务，提高投资项目审批速度。</w:t>
      </w:r>
    </w:p>
    <w:p>
      <w:pPr>
        <w:pStyle w:val="102"/>
        <w:ind w:firstLine="643"/>
        <w:rPr>
          <w:rFonts w:hint="eastAsia" w:ascii="楷体_GB2312" w:hAnsi="楷体_GB2312" w:eastAsia="楷体_GB2312" w:cs="楷体_GB2312"/>
          <w:b w:val="0"/>
          <w:bCs/>
        </w:rPr>
      </w:pPr>
      <w:bookmarkStart w:id="58" w:name="_Toc69925822"/>
      <w:bookmarkStart w:id="59" w:name="_Toc75191029"/>
      <w:r>
        <w:rPr>
          <w:rFonts w:hint="eastAsia" w:ascii="楷体_GB2312" w:hAnsi="楷体_GB2312" w:eastAsia="楷体_GB2312" w:cs="楷体_GB2312"/>
          <w:b w:val="0"/>
          <w:bCs/>
        </w:rPr>
        <w:t>（七）探索多元化、市场化、差异化招商路径</w:t>
      </w:r>
      <w:bookmarkEnd w:id="58"/>
      <w:bookmarkEnd w:id="59"/>
    </w:p>
    <w:p>
      <w:pPr>
        <w:pStyle w:val="104"/>
        <w:ind w:firstLine="643"/>
        <w:rPr>
          <w:rFonts w:hint="eastAsia"/>
          <w:b w:val="0"/>
          <w:bCs/>
        </w:rPr>
      </w:pPr>
      <w:bookmarkStart w:id="60" w:name="_Toc69925823"/>
      <w:r>
        <w:rPr>
          <w:rFonts w:hint="eastAsia"/>
          <w:b w:val="0"/>
          <w:bCs/>
        </w:rPr>
        <w:t>1.探索多元化招商</w:t>
      </w:r>
      <w:bookmarkEnd w:id="60"/>
    </w:p>
    <w:p>
      <w:pPr>
        <w:pStyle w:val="79"/>
        <w:ind w:firstLine="640"/>
      </w:pPr>
      <w:r>
        <w:rPr>
          <w:rFonts w:hint="eastAsia"/>
        </w:rPr>
        <w:t>（1）发挥驻外办事机构招商引资作用</w:t>
      </w:r>
    </w:p>
    <w:p>
      <w:pPr>
        <w:pStyle w:val="79"/>
        <w:ind w:firstLine="640"/>
      </w:pPr>
      <w:r>
        <w:rPr>
          <w:rFonts w:hint="eastAsia"/>
        </w:rPr>
        <w:t>充分发挥各驻外办事处作为海南省对外开放“窗口”和招商引资“桥梁”的作用，强化驻外办事机构招商引资职能。充分发挥外国驻华商务机构作为三亚对外开放“窗口”和招商引资“桥梁”作用。以设立外国商务联络点的方式，同外国优质企业对接，在重点产业与外国特色产业进行匹配，实现精准招商，靶向招商。商务联络点应积极参与驻地重大招商引资交流活动，积极联络本国优质企业，做好外商外资引入工作。进一步增强驻外办事机构力量，提升驻外办事人员水平，完善驻外办事机构考核机制，创新驻外办事机构工作方式，打造驻外招商平台，在重点地区开展驻点招商、跟踪式招商。探索与市驻外办事处建立包括委托、代理、驻点、联合等多种形式合作招商机制，统筹协调好各区县、各部门驻外招商机构、招商点和商（协）会资源，形成招商引资工作合力。驻外办事机构应积极参与和服务市际重大经济合作交流活动，积极联络驻地招商机构、大专院校、科研院所、民间智库，做好招才引智工作。</w:t>
      </w:r>
    </w:p>
    <w:p>
      <w:pPr>
        <w:pStyle w:val="79"/>
        <w:ind w:firstLine="640"/>
      </w:pPr>
      <w:r>
        <w:rPr>
          <w:rFonts w:hint="eastAsia"/>
        </w:rPr>
        <w:t>（2）发挥科研机构招商引资及招才引智作用</w:t>
      </w:r>
    </w:p>
    <w:p>
      <w:pPr>
        <w:pStyle w:val="79"/>
        <w:ind w:firstLine="640"/>
      </w:pPr>
      <w:r>
        <w:rPr>
          <w:rFonts w:hint="eastAsia"/>
        </w:rPr>
        <w:t>围绕科技企业、科研平台、科技成果、创新创业人才和团队项目等切实需要，结合产业链、创新链、资金链整体部署，推进产学研一体化，引进一大批符合三亚产业发展需要的高新技术成果转化及产业化投资项目，吸引一大批国内外高层次科技人才团队、科技型企业家来三亚市投资。组织力量深入开发区、园区、企业，广泛搜集人才智力和技术革新、项目合作需求，分别建立人才库、技术库、项目库，发布“双招双引”项目清单，每季度更新一次，并与有关部门加强信息资源的互通共享。大力发展科技企业孵化器，更大力度建设众创空间、创业大学、创业孵化器、创业园等创业载体，服务覆盖高层次人才、大学生和留学人员等不同群体，让各类人才都有机会参与科技成果的转化。</w:t>
      </w:r>
    </w:p>
    <w:p>
      <w:pPr>
        <w:pStyle w:val="79"/>
        <w:ind w:firstLine="640"/>
      </w:pPr>
      <w:r>
        <w:rPr>
          <w:rFonts w:hint="eastAsia"/>
        </w:rPr>
        <w:t>（</w:t>
      </w:r>
      <w:r>
        <w:t>3</w:t>
      </w:r>
      <w:r>
        <w:rPr>
          <w:rFonts w:hint="eastAsia"/>
        </w:rPr>
        <w:t>）实现市投促局与市属国资企业的产业联动</w:t>
      </w:r>
    </w:p>
    <w:p>
      <w:pPr>
        <w:pStyle w:val="79"/>
        <w:ind w:firstLine="640"/>
      </w:pPr>
      <w:r>
        <w:rPr>
          <w:rFonts w:hint="eastAsia"/>
        </w:rPr>
        <w:t>从产融联动、产创联动、产城联动等角度，结合三亚市国资国企产业布局的重点领域，推动市投促局与市属国资国企产业联动发展，发挥好二者协同作用，助力三亚市国资国企高质量发展。</w:t>
      </w:r>
    </w:p>
    <w:p>
      <w:pPr>
        <w:pStyle w:val="79"/>
        <w:ind w:firstLine="640"/>
      </w:pPr>
      <w:r>
        <w:rPr>
          <w:rFonts w:hint="eastAsia"/>
        </w:rPr>
        <w:t>产融联动方面，充分利用海南自贸港金融开放政策，更好的利用自由贸易账户（FT账户）、跨境资金池等跨境特色金融服务方案，服务三亚市国资国企“走出去”。探讨招商企业在三亚市设立功能性平台、专业子公司等金融创新服务载体的可行性。同时加强招商企业与三亚市国资实体企业联动衔接，打造“产融结合”等融资产品，为三亚市国资重大项目和重点产业提供长期资金支持，打造产融结合生态圈。</w:t>
      </w:r>
    </w:p>
    <w:p>
      <w:pPr>
        <w:pStyle w:val="79"/>
        <w:ind w:firstLine="640"/>
      </w:pPr>
      <w:r>
        <w:rPr>
          <w:rFonts w:hint="eastAsia"/>
        </w:rPr>
        <w:t>产创联动方面，依托三亚深海科技城建设，鼓励并组织招商投资企业与三亚市国资产业资源对接整合，支持三亚市国有企业全面参与以产业化为导向的研发创新业务。同时大力支持搭建高水平的科技创新孵化和技术转化平台，培育具有核心竞争优势的科创型企业，提供创新基础设施，催生各类创新活动，构建国资特色</w:t>
      </w:r>
      <w:r>
        <w:rPr>
          <w:rFonts w:hint="eastAsia"/>
          <w:lang w:eastAsia="zh-CN"/>
        </w:rPr>
        <w:t>“</w:t>
      </w:r>
      <w:r>
        <w:rPr>
          <w:rFonts w:hint="eastAsia"/>
        </w:rPr>
        <w:t>创新苗圃</w:t>
      </w:r>
      <w:r>
        <w:rPr>
          <w:rFonts w:hint="eastAsia"/>
          <w:lang w:eastAsia="zh-CN"/>
        </w:rPr>
        <w:t>”</w:t>
      </w:r>
      <w:r>
        <w:rPr>
          <w:rFonts w:hint="eastAsia"/>
        </w:rPr>
        <w:t>。</w:t>
      </w:r>
    </w:p>
    <w:p>
      <w:pPr>
        <w:pStyle w:val="79"/>
        <w:ind w:firstLine="640"/>
      </w:pPr>
      <w:r>
        <w:rPr>
          <w:rFonts w:hint="eastAsia"/>
        </w:rPr>
        <w:t>产城联动方面，围绕国际旅游消费中心建设，推进产业发展与城市功能融合，鼓励并组织招商企业与三亚市商业、文旅、康养等重点产业领域合作协同，形成产城联动发展格局，提升三亚市旅游消费服务能级，助力打造高品质人居环境。同时招引旅游、现代服务和高新技术企业入驻三亚市产业园、开发区、自贸区、科技园等具有产业集聚效应的重点产业载体，形成重点产业集群，真正实现“城以产兴”。</w:t>
      </w:r>
    </w:p>
    <w:p>
      <w:pPr>
        <w:pStyle w:val="104"/>
        <w:ind w:firstLine="643"/>
        <w:rPr>
          <w:rFonts w:hint="eastAsia"/>
          <w:b w:val="0"/>
          <w:bCs/>
        </w:rPr>
      </w:pPr>
      <w:bookmarkStart w:id="61" w:name="_Toc69925824"/>
      <w:r>
        <w:rPr>
          <w:rFonts w:hint="eastAsia"/>
          <w:b w:val="0"/>
          <w:bCs/>
        </w:rPr>
        <w:t>2.推广市场化招商、以商招商</w:t>
      </w:r>
      <w:bookmarkEnd w:id="61"/>
    </w:p>
    <w:p>
      <w:pPr>
        <w:pStyle w:val="79"/>
        <w:ind w:firstLine="640"/>
      </w:pPr>
      <w:r>
        <w:rPr>
          <w:rFonts w:hint="eastAsia"/>
        </w:rPr>
        <w:t>积极推进中介招商、委托招商、代理招商及以商招商，完善市场化招商引资的采购机制、激励机制、考核机制。鼓励各类中介机构参与招商引资，提高招商引资效率和优化资源配置。大力推广市场化招商引资，通过企业或社会中介机构延伸政府招商引资职能，进一步提高招商引资专业化程度。同时，建立起层次丰富、结构优化的招商团队。一方面推出高新技术招商岗、旅游业招商岗、现代服务业招商岗等岗位，高薪揽才。另一方面，对现有招商专员强化招商专项培训，培养招商人员的先进招商意识与产业知识，全方位提升工作人员业务能力。</w:t>
      </w:r>
    </w:p>
    <w:p>
      <w:pPr>
        <w:pStyle w:val="104"/>
        <w:ind w:firstLine="643"/>
        <w:rPr>
          <w:rFonts w:hint="eastAsia"/>
          <w:b w:val="0"/>
          <w:bCs/>
        </w:rPr>
      </w:pPr>
      <w:bookmarkStart w:id="62" w:name="_Toc69925825"/>
      <w:r>
        <w:rPr>
          <w:rFonts w:hint="eastAsia"/>
          <w:b w:val="0"/>
          <w:bCs/>
        </w:rPr>
        <w:t>3.推进数字化招商，建立大数据工作平台</w:t>
      </w:r>
      <w:bookmarkEnd w:id="62"/>
    </w:p>
    <w:p>
      <w:pPr>
        <w:pStyle w:val="79"/>
        <w:ind w:firstLine="640"/>
      </w:pPr>
      <w:r>
        <w:rPr>
          <w:rFonts w:hint="eastAsia"/>
        </w:rPr>
        <w:t>根据招商引资工作需要，建设包含全市重点产业、全球重点企业、科研机构、金融机构、商协会、园区、专利技术及人员等内容的招商引资大数据工作平台</w:t>
      </w:r>
      <w:r>
        <w:rPr>
          <w:rFonts w:hint="eastAsia"/>
          <w:lang w:eastAsia="zh-CN"/>
        </w:rPr>
        <w:t>。</w:t>
      </w:r>
      <w:r>
        <w:rPr>
          <w:rFonts w:hint="eastAsia"/>
        </w:rPr>
        <w:t>实现数据资源实时共享、集中管理、随时查询，达到数据寻商、数据引商、数据助商，节约招商引资人力物力财力，实现招商引资工作系统化、专业化、精准化</w:t>
      </w:r>
      <w:r>
        <w:rPr>
          <w:rFonts w:hint="eastAsia"/>
          <w:lang w:eastAsia="zh-CN"/>
        </w:rPr>
        <w:t>。</w:t>
      </w:r>
      <w:r>
        <w:rPr>
          <w:rFonts w:hint="eastAsia"/>
        </w:rPr>
        <w:t>积极探索“大数据+招商”“互联网+招商”工作模式，促进招商工作转型升级发展。为服务投资者搭建招商信息门户网站，利用“投资三亚”“网上办事”“政务公开”等板块，为国内外投资者提供获取三亚投资相关政策文件、政策解读以及相关动态的便利平台，打造三亚招商引资“强磁场”，提升精准招商的成功率。</w:t>
      </w:r>
    </w:p>
    <w:p>
      <w:pPr>
        <w:pStyle w:val="101"/>
        <w:ind w:firstLine="640"/>
      </w:pPr>
      <w:bookmarkStart w:id="63" w:name="_Toc75191030"/>
      <w:r>
        <w:rPr>
          <w:rFonts w:hint="eastAsia"/>
        </w:rPr>
        <w:t>六、保障措施</w:t>
      </w:r>
      <w:bookmarkEnd w:id="63"/>
    </w:p>
    <w:p>
      <w:pPr>
        <w:pStyle w:val="102"/>
        <w:ind w:firstLine="643"/>
      </w:pPr>
      <w:bookmarkStart w:id="64" w:name="_Toc75191031"/>
      <w:r>
        <w:rPr>
          <w:rFonts w:hint="eastAsia" w:ascii="楷体_GB2312" w:hAnsi="楷体_GB2312" w:eastAsia="楷体_GB2312" w:cs="楷体_GB2312"/>
          <w:b w:val="0"/>
          <w:bCs/>
        </w:rPr>
        <w:t>（一）保障政策落实，打造政策体系支撑</w:t>
      </w:r>
      <w:bookmarkEnd w:id="64"/>
    </w:p>
    <w:p>
      <w:pPr>
        <w:pStyle w:val="79"/>
        <w:ind w:firstLine="640"/>
      </w:pPr>
      <w:r>
        <w:rPr>
          <w:rFonts w:hint="eastAsia"/>
        </w:rPr>
        <w:t>探索国家出台的自贸港原产地原则、扩大开放跨境资金流通、非禁即入及离岛免税等重点政策以及产业发展的各项政策，优化三亚招商引资政策。根据重点产业发展需要，及时研究出台新政策，强化招商引资政策保障。注重短期政策与长期政策相衔接，围绕产业发展招商引资项目的发展用地、财政扶持、信贷支持、要素配置等重点领域，出台一系列能够有效解决突出问题矛盾的重大政策举措，为实现项目落地提供有力支撑。全面优化营商环境，探索组建大数据管理局，营造国际化、便利化、法制化营商环境，落实自由贸易港“以过程监管为重点的投资便利制度”。强化政策落地落实和权限下放承接，提高项目规划、征地、报批、备案、立项、环评、能评及土地供应保障效率，建立重点项目绿色通道，强化招商支撑。为重点项目建立与配套保障相关的“一事一议”制度配合项目落地。</w:t>
      </w:r>
    </w:p>
    <w:p>
      <w:pPr>
        <w:pStyle w:val="102"/>
        <w:ind w:firstLine="643"/>
        <w:rPr>
          <w:rFonts w:hint="eastAsia" w:ascii="楷体_GB2312" w:hAnsi="楷体_GB2312" w:eastAsia="楷体_GB2312" w:cs="楷体_GB2312"/>
          <w:b w:val="0"/>
          <w:bCs/>
        </w:rPr>
      </w:pPr>
      <w:bookmarkStart w:id="65" w:name="_Toc75191032"/>
      <w:r>
        <w:rPr>
          <w:rFonts w:hint="eastAsia" w:ascii="楷体_GB2312" w:hAnsi="楷体_GB2312" w:eastAsia="楷体_GB2312" w:cs="楷体_GB2312"/>
          <w:b w:val="0"/>
          <w:bCs/>
        </w:rPr>
        <w:t>（二）构建产业招商保障体系，强化财政资金支持</w:t>
      </w:r>
      <w:bookmarkEnd w:id="65"/>
    </w:p>
    <w:p>
      <w:pPr>
        <w:pStyle w:val="79"/>
        <w:ind w:firstLine="640"/>
      </w:pPr>
      <w:r>
        <w:rPr>
          <w:rFonts w:hint="eastAsia"/>
        </w:rPr>
        <w:t>加强市场手段与行政手段并用，构建资金保障体系，保障重点产业和重大项目招商引资工作。切实利用好海南自贸港开放发展基金，在招商项目开发、精准招商、重点项目协调推进、人才培训等方面，给予各区、园区经费支持和倾斜。积极争取中央、省财政转移支付资金、地方政府债券资金等支持自由贸易港下三亚重点项目建设。引进国际知名天使投资和创业投资机构，鼓励金融机构针对科技企业开展投贷结合、投保贷结合等创新模式。</w:t>
      </w:r>
    </w:p>
    <w:p>
      <w:pPr>
        <w:pStyle w:val="79"/>
        <w:ind w:firstLine="640"/>
      </w:pPr>
      <w:r>
        <w:rPr>
          <w:rFonts w:hint="eastAsia"/>
        </w:rPr>
        <w:t>统筹协调相关促进产业发展资金的申请和应用，协调对重点产业园区基础设施建设、公共服务平台建设、激励机制建设和鼓励类重大招商引资项目财政资金支持和银行贷款贴息的支持。统筹建立重点项目风险补偿机制，协调银行机构扩大对重点项目的信贷支持。</w:t>
      </w:r>
    </w:p>
    <w:p>
      <w:pPr>
        <w:pStyle w:val="102"/>
        <w:ind w:firstLine="643"/>
        <w:rPr>
          <w:rFonts w:hint="eastAsia" w:ascii="楷体_GB2312" w:hAnsi="楷体_GB2312" w:eastAsia="楷体_GB2312" w:cs="楷体_GB2312"/>
          <w:b w:val="0"/>
          <w:bCs/>
        </w:rPr>
      </w:pPr>
      <w:bookmarkStart w:id="66" w:name="_Toc75191033"/>
      <w:r>
        <w:rPr>
          <w:rFonts w:hint="eastAsia" w:ascii="楷体_GB2312" w:hAnsi="楷体_GB2312" w:eastAsia="楷体_GB2312" w:cs="楷体_GB2312"/>
          <w:b w:val="0"/>
          <w:bCs/>
        </w:rPr>
        <w:t>（三）建设一流营商环境，服务企业经营全生命周期</w:t>
      </w:r>
      <w:bookmarkEnd w:id="66"/>
    </w:p>
    <w:p>
      <w:pPr>
        <w:pStyle w:val="79"/>
        <w:ind w:firstLine="640"/>
      </w:pPr>
      <w:r>
        <w:rPr>
          <w:rFonts w:hint="eastAsia"/>
        </w:rPr>
        <w:t>全面优化营商环境，贯彻落实《优化营商环境条例》、《三亚市优化营商环境若干规定》，定期出台优化营商环境行动计划，在企业开办注销、办理建筑许可、纳税服务、跨境贸易及网络信息、水电气等多个维度营造法治化、国际化、便利化营商环境，落实自由贸易港“以过程监管为重点的投资便利制度”，打造并推广“三亚案例”和“三亚模式”。提供一站式服务，将招商引资企业落地的主要诉求包括注册登记、发票申领、购房购车、融资信贷等纳入服务范围，为企业提供高效服务；优化招商引资管理信息平台，将已经搭建即将试运行的三亚招商引资管理信息平台纳入管理服务范围，联合科投集团提供专业化系统管理，为投资促进局招商人员提供企业及市场数据，为招商引资提供参考；承接相关职能部门产业扶持职能。</w:t>
      </w:r>
    </w:p>
    <w:p>
      <w:pPr>
        <w:pStyle w:val="102"/>
        <w:ind w:firstLine="643"/>
        <w:rPr>
          <w:rFonts w:hint="eastAsia" w:ascii="楷体_GB2312" w:hAnsi="楷体_GB2312" w:eastAsia="楷体_GB2312" w:cs="楷体_GB2312"/>
          <w:b w:val="0"/>
          <w:bCs/>
        </w:rPr>
      </w:pPr>
      <w:bookmarkStart w:id="67" w:name="_Toc75191034"/>
      <w:r>
        <w:rPr>
          <w:rFonts w:hint="eastAsia" w:ascii="楷体_GB2312" w:hAnsi="楷体_GB2312" w:eastAsia="楷体_GB2312" w:cs="楷体_GB2312"/>
          <w:b w:val="0"/>
          <w:bCs/>
        </w:rPr>
        <w:t>（四）科学制定招商工作督导考核体系</w:t>
      </w:r>
      <w:bookmarkEnd w:id="67"/>
    </w:p>
    <w:p>
      <w:pPr>
        <w:pStyle w:val="79"/>
        <w:ind w:firstLine="640"/>
      </w:pPr>
      <w:r>
        <w:rPr>
          <w:rFonts w:hint="eastAsia"/>
        </w:rPr>
        <w:t>科学制定各部门年度招商引资工作目标，进一步完善招商引资考核评价体系，强化对项目实施情况的科学评估和跟踪分析，对各部门绩效指标完成情况进行逐年考核。引入第三方评价机构，增强考核的客观性与准确性。有效传导压力，责任到人，秉持“谁签约、谁负责”原则，加大对招商引资重点签约项目的协调推进力度。由市投促局牵头，联合市发展改革委、市科工信局、市农业农村局、市资规局、市交通运输局、市金融发展局及三亚崖州湾科技城管理局、三亚海棠湾国家海岸休闲园区管委会等部门单位派员参与，形成跨领域跨部门专项小组，建立重大项目全过程管理机制及重大项目定期议事机制，严格执行程序，督促重大项目快速高效落位。</w:t>
      </w:r>
    </w:p>
    <w:p>
      <w:pPr>
        <w:pStyle w:val="102"/>
        <w:ind w:firstLine="643"/>
        <w:rPr>
          <w:rFonts w:hint="eastAsia" w:ascii="楷体_GB2312" w:hAnsi="楷体_GB2312" w:eastAsia="楷体_GB2312" w:cs="楷体_GB2312"/>
          <w:b w:val="0"/>
          <w:bCs/>
        </w:rPr>
      </w:pPr>
      <w:bookmarkStart w:id="68" w:name="_Toc75191035"/>
      <w:r>
        <w:rPr>
          <w:rFonts w:hint="eastAsia" w:ascii="楷体_GB2312" w:hAnsi="楷体_GB2312" w:eastAsia="楷体_GB2312" w:cs="楷体_GB2312"/>
          <w:b w:val="0"/>
          <w:bCs/>
        </w:rPr>
        <w:t>（五）开展精准招商全媒介宣传</w:t>
      </w:r>
      <w:bookmarkEnd w:id="68"/>
    </w:p>
    <w:p>
      <w:pPr>
        <w:pStyle w:val="79"/>
        <w:ind w:firstLine="640"/>
        <w:rPr>
          <w:rFonts w:hint="eastAsia"/>
          <w:lang w:val="en-US" w:eastAsia="zh-CN"/>
        </w:rPr>
      </w:pPr>
      <w:r>
        <w:rPr>
          <w:rFonts w:hint="eastAsia"/>
        </w:rPr>
        <w:t>高度重视招商引资宣传工作，完善工作机制，强化宣传保障和队伍建设。针对三亚招商的重点项目，加大宣传力度，聚焦重点区域和潜在投资商，开展有针对性的精准宣传。与主流媒体进行战略合作，搭建报纸、电视、网络、招商热线等多渠道、立体化的全媒体推广体系。推进线上与线下各渠道联动，传统媒体与新媒体相结合，开展全面覆盖、深层高效的宣传工作。一是突出报导三亚招商工作中的亮点、招商引资创新发展的新举措、新模式，以及各地招商工作中的先进人物，营造积极推进招商工作的氛围。二是协同国内外主流媒体加大对三亚发展优势、发展成果及未来机遇的宣传力度。在利用新媒体进行招商宣传的过程中，做好招商的形象和品牌设计，尊重和强化企业的市场主体地位。利用好官方微信公众号、微网站等渠道，突出介绍自贸港的开放优势、三亚作为国际旅游消费中心的宜商宜居宜业宜游的城市品牌，针对三亚重点园区、重点地块、重点招商项目等资源的发展潜力优势，进行针对性宣传推介。三是做好信息收集和对外发布，以网络为基础，构建投资促进信息网络，一方面便利各级招商机构全球投资信息，另一方面，及时向外发布三亚的招商项目信息。四是办好高质量招商推介会。以“现场+线上”方式展开招商宣传介绍，将推介会作为三亚招商引资的重要平台，就市场主体所关注的有关问题做出具体解答，在帮助市场主体了解区域发展规划的同时，让政府部门充分了解市场需求，进一步增强资源配置的</w:t>
      </w:r>
      <w:bookmarkEnd w:id="44"/>
      <w:bookmarkEnd w:id="45"/>
      <w:bookmarkEnd w:id="46"/>
      <w:r>
        <w:rPr>
          <w:rFonts w:hint="eastAsia"/>
          <w:lang w:val="en-US" w:eastAsia="zh-CN"/>
        </w:rPr>
        <w:t>精确性。</w:t>
      </w:r>
    </w:p>
    <w:p>
      <w:pPr>
        <w:pStyle w:val="79"/>
        <w:ind w:left="0" w:leftChars="0" w:firstLine="0" w:firstLineChars="0"/>
      </w:pPr>
    </w:p>
    <w:sectPr>
      <w:footerReference r:id="rId8" w:type="default"/>
      <w:pgSz w:w="11900" w:h="16840"/>
      <w:pgMar w:top="1928" w:right="1531" w:bottom="1701" w:left="1531" w:header="567" w:footer="567" w:gutter="0"/>
      <w:pgNumType w:fmt="decimal" w:start="1"/>
      <w:cols w:space="0" w:num="1"/>
      <w:rtlGutter w:val="0"/>
      <w:docGrid w:type="lines" w:linePitch="60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Heiti SC Light">
    <w:altName w:val="Calibri"/>
    <w:panose1 w:val="00000000000000000000"/>
    <w:charset w:val="50"/>
    <w:family w:val="auto"/>
    <w:pitch w:val="default"/>
    <w:sig w:usb0="00000000" w:usb1="00000000" w:usb2="00000010" w:usb3="00000000" w:csb0="003E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left="0" w:leftChars="0" w:firstLine="0" w:firstLineChars="0"/>
                            <w:rPr>
                              <w:rFonts w:hint="eastAsia" w:eastAsia="仿宋"/>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ind w:left="0" w:leftChars="0" w:firstLine="0" w:firstLineChars="0"/>
                      <w:rPr>
                        <w:rFonts w:hint="eastAsia" w:eastAsia="仿宋"/>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left="0" w:leftChars="0" w:firstLine="0" w:firstLineChars="0"/>
                            <w:rPr>
                              <w:rFonts w:hint="eastAsia" w:eastAsia="仿宋"/>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ind w:left="0" w:leftChars="0" w:firstLine="0" w:firstLineChars="0"/>
                      <w:rPr>
                        <w:rFonts w:hint="eastAsia" w:eastAsia="仿宋"/>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83587"/>
    <w:multiLevelType w:val="multilevel"/>
    <w:tmpl w:val="05F83587"/>
    <w:lvl w:ilvl="0" w:tentative="0">
      <w:start w:val="1"/>
      <w:numFmt w:val="decimal"/>
      <w:pStyle w:val="98"/>
      <w:lvlText w:val="图%1."/>
      <w:lvlJc w:val="left"/>
      <w:pPr>
        <w:ind w:left="1500" w:hanging="360"/>
      </w:pPr>
      <w:rPr>
        <w:rFonts w:hint="eastAsia" w:eastAsia="仿宋_GB2312"/>
      </w:r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abstractNum w:abstractNumId="1">
    <w:nsid w:val="6AC271F3"/>
    <w:multiLevelType w:val="multilevel"/>
    <w:tmpl w:val="6AC271F3"/>
    <w:lvl w:ilvl="0" w:tentative="0">
      <w:start w:val="1"/>
      <w:numFmt w:val="decimal"/>
      <w:pStyle w:val="96"/>
      <w:lvlText w:val="图%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EB25451"/>
    <w:multiLevelType w:val="multilevel"/>
    <w:tmpl w:val="7EB25451"/>
    <w:lvl w:ilvl="0" w:tentative="0">
      <w:start w:val="1"/>
      <w:numFmt w:val="decimal"/>
      <w:pStyle w:val="83"/>
      <w:suff w:val="nothing"/>
      <w:lvlText w:val="表%1."/>
      <w:lvlJc w:val="left"/>
      <w:pPr>
        <w:ind w:left="1140" w:hanging="360"/>
      </w:pPr>
      <w:rPr>
        <w:rFonts w:hint="eastAsia"/>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drawingGridHorizontalSpacing w:val="327"/>
  <w:drawingGridVerticalSpacing w:val="30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69"/>
    <w:rsid w:val="000039ED"/>
    <w:rsid w:val="00003C2F"/>
    <w:rsid w:val="00011ACC"/>
    <w:rsid w:val="00013DE3"/>
    <w:rsid w:val="00015457"/>
    <w:rsid w:val="00016131"/>
    <w:rsid w:val="0002043C"/>
    <w:rsid w:val="00022FCC"/>
    <w:rsid w:val="00024B56"/>
    <w:rsid w:val="0002671F"/>
    <w:rsid w:val="00026D12"/>
    <w:rsid w:val="00030FF4"/>
    <w:rsid w:val="000328A4"/>
    <w:rsid w:val="00033651"/>
    <w:rsid w:val="000348D6"/>
    <w:rsid w:val="00037E40"/>
    <w:rsid w:val="00041BC4"/>
    <w:rsid w:val="00045CB0"/>
    <w:rsid w:val="0004700E"/>
    <w:rsid w:val="00053B93"/>
    <w:rsid w:val="00060F76"/>
    <w:rsid w:val="000665C3"/>
    <w:rsid w:val="00070026"/>
    <w:rsid w:val="0007165E"/>
    <w:rsid w:val="0007412B"/>
    <w:rsid w:val="00081943"/>
    <w:rsid w:val="0008342C"/>
    <w:rsid w:val="0008430C"/>
    <w:rsid w:val="00086ABE"/>
    <w:rsid w:val="00091049"/>
    <w:rsid w:val="00094D69"/>
    <w:rsid w:val="00095128"/>
    <w:rsid w:val="000A0611"/>
    <w:rsid w:val="000A25D1"/>
    <w:rsid w:val="000A3E9B"/>
    <w:rsid w:val="000A4888"/>
    <w:rsid w:val="000A63AA"/>
    <w:rsid w:val="000A6503"/>
    <w:rsid w:val="000A79CD"/>
    <w:rsid w:val="000B059A"/>
    <w:rsid w:val="000B1324"/>
    <w:rsid w:val="000B37FF"/>
    <w:rsid w:val="000B70B6"/>
    <w:rsid w:val="000C0BA5"/>
    <w:rsid w:val="000C1BBF"/>
    <w:rsid w:val="000C2DE0"/>
    <w:rsid w:val="000C6594"/>
    <w:rsid w:val="000D0774"/>
    <w:rsid w:val="000D1CD5"/>
    <w:rsid w:val="000D3676"/>
    <w:rsid w:val="000D53FA"/>
    <w:rsid w:val="000E06B8"/>
    <w:rsid w:val="000E1124"/>
    <w:rsid w:val="000E2F77"/>
    <w:rsid w:val="000E484C"/>
    <w:rsid w:val="000E53B3"/>
    <w:rsid w:val="000E61D1"/>
    <w:rsid w:val="000E67BB"/>
    <w:rsid w:val="000E6A17"/>
    <w:rsid w:val="000E79D7"/>
    <w:rsid w:val="000F0633"/>
    <w:rsid w:val="000F3023"/>
    <w:rsid w:val="000F7125"/>
    <w:rsid w:val="00100587"/>
    <w:rsid w:val="0010150C"/>
    <w:rsid w:val="00101779"/>
    <w:rsid w:val="00103AF5"/>
    <w:rsid w:val="001042E8"/>
    <w:rsid w:val="0010775E"/>
    <w:rsid w:val="00112A80"/>
    <w:rsid w:val="0011669A"/>
    <w:rsid w:val="001203A2"/>
    <w:rsid w:val="00132DEB"/>
    <w:rsid w:val="001347F0"/>
    <w:rsid w:val="00136D31"/>
    <w:rsid w:val="0014052D"/>
    <w:rsid w:val="001410E8"/>
    <w:rsid w:val="00146338"/>
    <w:rsid w:val="00150509"/>
    <w:rsid w:val="00155467"/>
    <w:rsid w:val="001556EB"/>
    <w:rsid w:val="001563A8"/>
    <w:rsid w:val="00156438"/>
    <w:rsid w:val="00164938"/>
    <w:rsid w:val="001675CE"/>
    <w:rsid w:val="00170555"/>
    <w:rsid w:val="00170970"/>
    <w:rsid w:val="00174652"/>
    <w:rsid w:val="00174D03"/>
    <w:rsid w:val="00175600"/>
    <w:rsid w:val="00180683"/>
    <w:rsid w:val="00181111"/>
    <w:rsid w:val="00182751"/>
    <w:rsid w:val="00183596"/>
    <w:rsid w:val="00184FF8"/>
    <w:rsid w:val="00185BD3"/>
    <w:rsid w:val="00186C34"/>
    <w:rsid w:val="00186F4B"/>
    <w:rsid w:val="00187379"/>
    <w:rsid w:val="00187700"/>
    <w:rsid w:val="00191B0D"/>
    <w:rsid w:val="00192B75"/>
    <w:rsid w:val="00192C96"/>
    <w:rsid w:val="00194728"/>
    <w:rsid w:val="00196EAB"/>
    <w:rsid w:val="001A08E7"/>
    <w:rsid w:val="001A2FB2"/>
    <w:rsid w:val="001A49AE"/>
    <w:rsid w:val="001A505F"/>
    <w:rsid w:val="001A5CD2"/>
    <w:rsid w:val="001A6E38"/>
    <w:rsid w:val="001A7D0F"/>
    <w:rsid w:val="001A7DA5"/>
    <w:rsid w:val="001B2157"/>
    <w:rsid w:val="001B2C97"/>
    <w:rsid w:val="001B3B21"/>
    <w:rsid w:val="001B446F"/>
    <w:rsid w:val="001B6E84"/>
    <w:rsid w:val="001B7F85"/>
    <w:rsid w:val="001C19B3"/>
    <w:rsid w:val="001C226B"/>
    <w:rsid w:val="001C48A9"/>
    <w:rsid w:val="001C4F74"/>
    <w:rsid w:val="001C770F"/>
    <w:rsid w:val="001D069B"/>
    <w:rsid w:val="001D19AE"/>
    <w:rsid w:val="001D4544"/>
    <w:rsid w:val="001D4DE1"/>
    <w:rsid w:val="001D6C7E"/>
    <w:rsid w:val="001D7631"/>
    <w:rsid w:val="001D7907"/>
    <w:rsid w:val="001E2A62"/>
    <w:rsid w:val="001E582B"/>
    <w:rsid w:val="001E5C51"/>
    <w:rsid w:val="001E7A05"/>
    <w:rsid w:val="001E7B51"/>
    <w:rsid w:val="001F1C30"/>
    <w:rsid w:val="001F1D6E"/>
    <w:rsid w:val="001F4BAC"/>
    <w:rsid w:val="001F5503"/>
    <w:rsid w:val="001F6252"/>
    <w:rsid w:val="0020262E"/>
    <w:rsid w:val="00206173"/>
    <w:rsid w:val="00207053"/>
    <w:rsid w:val="00213180"/>
    <w:rsid w:val="002361D5"/>
    <w:rsid w:val="002412FD"/>
    <w:rsid w:val="002421A8"/>
    <w:rsid w:val="00242502"/>
    <w:rsid w:val="00243A46"/>
    <w:rsid w:val="00243DC6"/>
    <w:rsid w:val="00250D14"/>
    <w:rsid w:val="0025229C"/>
    <w:rsid w:val="00252FE0"/>
    <w:rsid w:val="00253D70"/>
    <w:rsid w:val="00254773"/>
    <w:rsid w:val="00256D27"/>
    <w:rsid w:val="00256E51"/>
    <w:rsid w:val="00260825"/>
    <w:rsid w:val="00260B1F"/>
    <w:rsid w:val="00262E60"/>
    <w:rsid w:val="0026456B"/>
    <w:rsid w:val="00266BC4"/>
    <w:rsid w:val="00271E7D"/>
    <w:rsid w:val="00273D12"/>
    <w:rsid w:val="002767BA"/>
    <w:rsid w:val="00281054"/>
    <w:rsid w:val="00281535"/>
    <w:rsid w:val="00283805"/>
    <w:rsid w:val="00284621"/>
    <w:rsid w:val="00286D15"/>
    <w:rsid w:val="00293005"/>
    <w:rsid w:val="0029416B"/>
    <w:rsid w:val="00294363"/>
    <w:rsid w:val="0029549A"/>
    <w:rsid w:val="00297454"/>
    <w:rsid w:val="002A04F0"/>
    <w:rsid w:val="002A0A2F"/>
    <w:rsid w:val="002A2335"/>
    <w:rsid w:val="002A3690"/>
    <w:rsid w:val="002A38B8"/>
    <w:rsid w:val="002A4D1E"/>
    <w:rsid w:val="002A56C3"/>
    <w:rsid w:val="002A5A1B"/>
    <w:rsid w:val="002A5C1B"/>
    <w:rsid w:val="002B03C2"/>
    <w:rsid w:val="002B32FB"/>
    <w:rsid w:val="002B359F"/>
    <w:rsid w:val="002B4746"/>
    <w:rsid w:val="002B6AF3"/>
    <w:rsid w:val="002B771B"/>
    <w:rsid w:val="002B7FAE"/>
    <w:rsid w:val="002C0767"/>
    <w:rsid w:val="002C0B2F"/>
    <w:rsid w:val="002C0C4B"/>
    <w:rsid w:val="002C3E03"/>
    <w:rsid w:val="002C5D18"/>
    <w:rsid w:val="002D0570"/>
    <w:rsid w:val="002D0845"/>
    <w:rsid w:val="002D38B8"/>
    <w:rsid w:val="002D3CBF"/>
    <w:rsid w:val="002D4314"/>
    <w:rsid w:val="002D5888"/>
    <w:rsid w:val="002D69C9"/>
    <w:rsid w:val="002E17AC"/>
    <w:rsid w:val="002E27D4"/>
    <w:rsid w:val="002E2C2D"/>
    <w:rsid w:val="002E6847"/>
    <w:rsid w:val="002F0B04"/>
    <w:rsid w:val="002F2870"/>
    <w:rsid w:val="00300CB6"/>
    <w:rsid w:val="00303775"/>
    <w:rsid w:val="00303BE2"/>
    <w:rsid w:val="00305D69"/>
    <w:rsid w:val="00311E82"/>
    <w:rsid w:val="0031513F"/>
    <w:rsid w:val="00320059"/>
    <w:rsid w:val="00321CA2"/>
    <w:rsid w:val="0032559B"/>
    <w:rsid w:val="0032632C"/>
    <w:rsid w:val="00326F29"/>
    <w:rsid w:val="00327AA3"/>
    <w:rsid w:val="00330846"/>
    <w:rsid w:val="00333F81"/>
    <w:rsid w:val="00337C53"/>
    <w:rsid w:val="00337C8A"/>
    <w:rsid w:val="00340504"/>
    <w:rsid w:val="00343B87"/>
    <w:rsid w:val="00346060"/>
    <w:rsid w:val="00354553"/>
    <w:rsid w:val="00360C03"/>
    <w:rsid w:val="0036534E"/>
    <w:rsid w:val="00371CFA"/>
    <w:rsid w:val="00372631"/>
    <w:rsid w:val="00372936"/>
    <w:rsid w:val="00373233"/>
    <w:rsid w:val="00373A86"/>
    <w:rsid w:val="00374059"/>
    <w:rsid w:val="003752D7"/>
    <w:rsid w:val="00375723"/>
    <w:rsid w:val="00376680"/>
    <w:rsid w:val="00377E4E"/>
    <w:rsid w:val="00380ADB"/>
    <w:rsid w:val="003822FE"/>
    <w:rsid w:val="00384F59"/>
    <w:rsid w:val="00392B0E"/>
    <w:rsid w:val="00393A4D"/>
    <w:rsid w:val="003960DA"/>
    <w:rsid w:val="003A2601"/>
    <w:rsid w:val="003A4C01"/>
    <w:rsid w:val="003A6231"/>
    <w:rsid w:val="003A670A"/>
    <w:rsid w:val="003B67F1"/>
    <w:rsid w:val="003C0D6B"/>
    <w:rsid w:val="003C2D83"/>
    <w:rsid w:val="003C5020"/>
    <w:rsid w:val="003C5655"/>
    <w:rsid w:val="003C672B"/>
    <w:rsid w:val="003C6DB4"/>
    <w:rsid w:val="003D117A"/>
    <w:rsid w:val="003D151C"/>
    <w:rsid w:val="003D4415"/>
    <w:rsid w:val="003D76D4"/>
    <w:rsid w:val="003D7CEA"/>
    <w:rsid w:val="003E0C3F"/>
    <w:rsid w:val="003E3F39"/>
    <w:rsid w:val="003E476E"/>
    <w:rsid w:val="003E6B59"/>
    <w:rsid w:val="003F6F90"/>
    <w:rsid w:val="00400285"/>
    <w:rsid w:val="004019BD"/>
    <w:rsid w:val="00402684"/>
    <w:rsid w:val="00405D49"/>
    <w:rsid w:val="00413624"/>
    <w:rsid w:val="004150F8"/>
    <w:rsid w:val="004167A7"/>
    <w:rsid w:val="00420FA5"/>
    <w:rsid w:val="00421ABA"/>
    <w:rsid w:val="00433259"/>
    <w:rsid w:val="00433A47"/>
    <w:rsid w:val="00434938"/>
    <w:rsid w:val="004404F6"/>
    <w:rsid w:val="0044240F"/>
    <w:rsid w:val="00445645"/>
    <w:rsid w:val="00453252"/>
    <w:rsid w:val="00453496"/>
    <w:rsid w:val="004556D1"/>
    <w:rsid w:val="004571D3"/>
    <w:rsid w:val="0045727C"/>
    <w:rsid w:val="004602C2"/>
    <w:rsid w:val="00461560"/>
    <w:rsid w:val="00463A2C"/>
    <w:rsid w:val="00464E27"/>
    <w:rsid w:val="00472C99"/>
    <w:rsid w:val="00476AD3"/>
    <w:rsid w:val="00476B23"/>
    <w:rsid w:val="0048175F"/>
    <w:rsid w:val="00482B54"/>
    <w:rsid w:val="00484371"/>
    <w:rsid w:val="00484F54"/>
    <w:rsid w:val="004902D3"/>
    <w:rsid w:val="00495FC5"/>
    <w:rsid w:val="00496906"/>
    <w:rsid w:val="004A39AF"/>
    <w:rsid w:val="004A3F30"/>
    <w:rsid w:val="004A5804"/>
    <w:rsid w:val="004A6321"/>
    <w:rsid w:val="004A77F9"/>
    <w:rsid w:val="004A7846"/>
    <w:rsid w:val="004A7CBB"/>
    <w:rsid w:val="004B0198"/>
    <w:rsid w:val="004B0DD7"/>
    <w:rsid w:val="004B1387"/>
    <w:rsid w:val="004B6704"/>
    <w:rsid w:val="004B7628"/>
    <w:rsid w:val="004B7C6C"/>
    <w:rsid w:val="004C06CE"/>
    <w:rsid w:val="004C2DE4"/>
    <w:rsid w:val="004C3C67"/>
    <w:rsid w:val="004C5B39"/>
    <w:rsid w:val="004C6CF0"/>
    <w:rsid w:val="004C7151"/>
    <w:rsid w:val="004D1FB2"/>
    <w:rsid w:val="004D3624"/>
    <w:rsid w:val="004D38D2"/>
    <w:rsid w:val="004D63D5"/>
    <w:rsid w:val="004E07E7"/>
    <w:rsid w:val="004E5144"/>
    <w:rsid w:val="004E53CB"/>
    <w:rsid w:val="004E6089"/>
    <w:rsid w:val="004E7CBC"/>
    <w:rsid w:val="004F0B97"/>
    <w:rsid w:val="004F1F35"/>
    <w:rsid w:val="004F1F9B"/>
    <w:rsid w:val="004F38CE"/>
    <w:rsid w:val="005021DC"/>
    <w:rsid w:val="005031A7"/>
    <w:rsid w:val="00510E62"/>
    <w:rsid w:val="00512B82"/>
    <w:rsid w:val="005151AB"/>
    <w:rsid w:val="005151B9"/>
    <w:rsid w:val="00516288"/>
    <w:rsid w:val="005173C8"/>
    <w:rsid w:val="00520ED0"/>
    <w:rsid w:val="00524B86"/>
    <w:rsid w:val="00525793"/>
    <w:rsid w:val="005345BD"/>
    <w:rsid w:val="00534636"/>
    <w:rsid w:val="005353BD"/>
    <w:rsid w:val="0053549C"/>
    <w:rsid w:val="00536A22"/>
    <w:rsid w:val="00537883"/>
    <w:rsid w:val="00537B60"/>
    <w:rsid w:val="005415D5"/>
    <w:rsid w:val="00542A22"/>
    <w:rsid w:val="00543A83"/>
    <w:rsid w:val="00547969"/>
    <w:rsid w:val="00551258"/>
    <w:rsid w:val="00551AB7"/>
    <w:rsid w:val="005532AF"/>
    <w:rsid w:val="00554F7A"/>
    <w:rsid w:val="00555C92"/>
    <w:rsid w:val="0055635C"/>
    <w:rsid w:val="00562126"/>
    <w:rsid w:val="00563287"/>
    <w:rsid w:val="00564FF1"/>
    <w:rsid w:val="005724B9"/>
    <w:rsid w:val="00574E8F"/>
    <w:rsid w:val="005757C8"/>
    <w:rsid w:val="0057692E"/>
    <w:rsid w:val="005802DA"/>
    <w:rsid w:val="00580778"/>
    <w:rsid w:val="005809BD"/>
    <w:rsid w:val="00581DDE"/>
    <w:rsid w:val="0058207E"/>
    <w:rsid w:val="00586F81"/>
    <w:rsid w:val="00587192"/>
    <w:rsid w:val="00591593"/>
    <w:rsid w:val="005956E4"/>
    <w:rsid w:val="00596FBF"/>
    <w:rsid w:val="005972FA"/>
    <w:rsid w:val="005A101A"/>
    <w:rsid w:val="005A1F9D"/>
    <w:rsid w:val="005A2A43"/>
    <w:rsid w:val="005A3991"/>
    <w:rsid w:val="005A56F0"/>
    <w:rsid w:val="005A6090"/>
    <w:rsid w:val="005A624D"/>
    <w:rsid w:val="005B0394"/>
    <w:rsid w:val="005B3CAE"/>
    <w:rsid w:val="005B4E45"/>
    <w:rsid w:val="005B4F27"/>
    <w:rsid w:val="005B62FC"/>
    <w:rsid w:val="005C00C6"/>
    <w:rsid w:val="005C026C"/>
    <w:rsid w:val="005C0CA5"/>
    <w:rsid w:val="005C0D66"/>
    <w:rsid w:val="005C1D2E"/>
    <w:rsid w:val="005C20FA"/>
    <w:rsid w:val="005C3C34"/>
    <w:rsid w:val="005C50D8"/>
    <w:rsid w:val="005C61B4"/>
    <w:rsid w:val="005D2137"/>
    <w:rsid w:val="005D65A1"/>
    <w:rsid w:val="005D7C96"/>
    <w:rsid w:val="005E6BBD"/>
    <w:rsid w:val="005F08E3"/>
    <w:rsid w:val="005F5BB3"/>
    <w:rsid w:val="005F6363"/>
    <w:rsid w:val="005F6B91"/>
    <w:rsid w:val="005F6DDE"/>
    <w:rsid w:val="005F6E00"/>
    <w:rsid w:val="0060147C"/>
    <w:rsid w:val="006030C3"/>
    <w:rsid w:val="006109BA"/>
    <w:rsid w:val="00610C94"/>
    <w:rsid w:val="006163D1"/>
    <w:rsid w:val="00617D3A"/>
    <w:rsid w:val="006214AE"/>
    <w:rsid w:val="00625CD3"/>
    <w:rsid w:val="006312E6"/>
    <w:rsid w:val="00636676"/>
    <w:rsid w:val="006427B3"/>
    <w:rsid w:val="00646044"/>
    <w:rsid w:val="006520BC"/>
    <w:rsid w:val="00654C9A"/>
    <w:rsid w:val="006560E1"/>
    <w:rsid w:val="00657FC2"/>
    <w:rsid w:val="00660621"/>
    <w:rsid w:val="00662B9E"/>
    <w:rsid w:val="00664926"/>
    <w:rsid w:val="0067094A"/>
    <w:rsid w:val="00673D07"/>
    <w:rsid w:val="0067566D"/>
    <w:rsid w:val="00680032"/>
    <w:rsid w:val="0069073E"/>
    <w:rsid w:val="006911EE"/>
    <w:rsid w:val="006914FD"/>
    <w:rsid w:val="0069284E"/>
    <w:rsid w:val="00693080"/>
    <w:rsid w:val="006965CB"/>
    <w:rsid w:val="00697A01"/>
    <w:rsid w:val="006A196E"/>
    <w:rsid w:val="006A1E6D"/>
    <w:rsid w:val="006A1E8F"/>
    <w:rsid w:val="006A316E"/>
    <w:rsid w:val="006A3A0A"/>
    <w:rsid w:val="006B14DD"/>
    <w:rsid w:val="006B5C0B"/>
    <w:rsid w:val="006C22BC"/>
    <w:rsid w:val="006C2AF0"/>
    <w:rsid w:val="006C4DF4"/>
    <w:rsid w:val="006C5D23"/>
    <w:rsid w:val="006C6700"/>
    <w:rsid w:val="006D05AD"/>
    <w:rsid w:val="006D0791"/>
    <w:rsid w:val="006D3A74"/>
    <w:rsid w:val="006D4992"/>
    <w:rsid w:val="006D4FE2"/>
    <w:rsid w:val="006E05FB"/>
    <w:rsid w:val="006E0992"/>
    <w:rsid w:val="006E34DD"/>
    <w:rsid w:val="006E541F"/>
    <w:rsid w:val="006E55E5"/>
    <w:rsid w:val="006E6684"/>
    <w:rsid w:val="006E6DDD"/>
    <w:rsid w:val="006F2368"/>
    <w:rsid w:val="006F63ED"/>
    <w:rsid w:val="006F7D4D"/>
    <w:rsid w:val="00711410"/>
    <w:rsid w:val="0071281B"/>
    <w:rsid w:val="007132C7"/>
    <w:rsid w:val="00714584"/>
    <w:rsid w:val="00714FA9"/>
    <w:rsid w:val="0071528E"/>
    <w:rsid w:val="00722A1D"/>
    <w:rsid w:val="007236A6"/>
    <w:rsid w:val="007236D1"/>
    <w:rsid w:val="00725BD7"/>
    <w:rsid w:val="0072706A"/>
    <w:rsid w:val="00733BD4"/>
    <w:rsid w:val="007348F4"/>
    <w:rsid w:val="00742BC9"/>
    <w:rsid w:val="00744F97"/>
    <w:rsid w:val="007508AB"/>
    <w:rsid w:val="00751A11"/>
    <w:rsid w:val="00751D3E"/>
    <w:rsid w:val="00752306"/>
    <w:rsid w:val="0075410E"/>
    <w:rsid w:val="00763090"/>
    <w:rsid w:val="00764475"/>
    <w:rsid w:val="00765892"/>
    <w:rsid w:val="00766682"/>
    <w:rsid w:val="00770ECD"/>
    <w:rsid w:val="00770F3F"/>
    <w:rsid w:val="007751CE"/>
    <w:rsid w:val="0077554C"/>
    <w:rsid w:val="00775D4E"/>
    <w:rsid w:val="00777B50"/>
    <w:rsid w:val="00777FDF"/>
    <w:rsid w:val="00782606"/>
    <w:rsid w:val="00782E41"/>
    <w:rsid w:val="00783631"/>
    <w:rsid w:val="007844F3"/>
    <w:rsid w:val="00787308"/>
    <w:rsid w:val="00791CE3"/>
    <w:rsid w:val="007921FC"/>
    <w:rsid w:val="0079271E"/>
    <w:rsid w:val="00796441"/>
    <w:rsid w:val="007A17CB"/>
    <w:rsid w:val="007A1B8D"/>
    <w:rsid w:val="007A1EAA"/>
    <w:rsid w:val="007A74FC"/>
    <w:rsid w:val="007B3CE8"/>
    <w:rsid w:val="007B3EAB"/>
    <w:rsid w:val="007C4954"/>
    <w:rsid w:val="007C56E7"/>
    <w:rsid w:val="007D34F4"/>
    <w:rsid w:val="007D41E0"/>
    <w:rsid w:val="007D569D"/>
    <w:rsid w:val="007E33E8"/>
    <w:rsid w:val="007E3ABE"/>
    <w:rsid w:val="007E641C"/>
    <w:rsid w:val="007F1911"/>
    <w:rsid w:val="007F1F76"/>
    <w:rsid w:val="007F1FCD"/>
    <w:rsid w:val="00800EF5"/>
    <w:rsid w:val="0080267B"/>
    <w:rsid w:val="00803195"/>
    <w:rsid w:val="0080416D"/>
    <w:rsid w:val="008047E6"/>
    <w:rsid w:val="0080727B"/>
    <w:rsid w:val="00810723"/>
    <w:rsid w:val="00822C71"/>
    <w:rsid w:val="00825FD9"/>
    <w:rsid w:val="00826ED2"/>
    <w:rsid w:val="008300E0"/>
    <w:rsid w:val="0083233E"/>
    <w:rsid w:val="0083401D"/>
    <w:rsid w:val="00834A77"/>
    <w:rsid w:val="00844D40"/>
    <w:rsid w:val="008511F5"/>
    <w:rsid w:val="0085210A"/>
    <w:rsid w:val="008521DE"/>
    <w:rsid w:val="00852561"/>
    <w:rsid w:val="00856D36"/>
    <w:rsid w:val="00860CE1"/>
    <w:rsid w:val="00865981"/>
    <w:rsid w:val="008664E7"/>
    <w:rsid w:val="008672A1"/>
    <w:rsid w:val="00867F7E"/>
    <w:rsid w:val="008700D5"/>
    <w:rsid w:val="00872FA6"/>
    <w:rsid w:val="008739DA"/>
    <w:rsid w:val="00874621"/>
    <w:rsid w:val="00877284"/>
    <w:rsid w:val="008820CE"/>
    <w:rsid w:val="00882492"/>
    <w:rsid w:val="008825E4"/>
    <w:rsid w:val="00882926"/>
    <w:rsid w:val="008853EE"/>
    <w:rsid w:val="00887108"/>
    <w:rsid w:val="00887446"/>
    <w:rsid w:val="00892FF2"/>
    <w:rsid w:val="00896ADF"/>
    <w:rsid w:val="008A0B45"/>
    <w:rsid w:val="008A1A41"/>
    <w:rsid w:val="008A7B18"/>
    <w:rsid w:val="008A7F8E"/>
    <w:rsid w:val="008B028B"/>
    <w:rsid w:val="008B0898"/>
    <w:rsid w:val="008B3481"/>
    <w:rsid w:val="008B58DE"/>
    <w:rsid w:val="008B68A2"/>
    <w:rsid w:val="008B7D5B"/>
    <w:rsid w:val="008C133D"/>
    <w:rsid w:val="008C1BE0"/>
    <w:rsid w:val="008C3080"/>
    <w:rsid w:val="008C433C"/>
    <w:rsid w:val="008C68D9"/>
    <w:rsid w:val="008D1F07"/>
    <w:rsid w:val="008D3B0C"/>
    <w:rsid w:val="008D5396"/>
    <w:rsid w:val="008D5BFC"/>
    <w:rsid w:val="008D6F04"/>
    <w:rsid w:val="008E0041"/>
    <w:rsid w:val="008E5164"/>
    <w:rsid w:val="008E69AC"/>
    <w:rsid w:val="008E720A"/>
    <w:rsid w:val="008F12EA"/>
    <w:rsid w:val="008F494B"/>
    <w:rsid w:val="0090075F"/>
    <w:rsid w:val="00900DA5"/>
    <w:rsid w:val="0090120B"/>
    <w:rsid w:val="00902934"/>
    <w:rsid w:val="00904754"/>
    <w:rsid w:val="009076B1"/>
    <w:rsid w:val="00921DB9"/>
    <w:rsid w:val="0093181C"/>
    <w:rsid w:val="009352EE"/>
    <w:rsid w:val="009363FF"/>
    <w:rsid w:val="00940350"/>
    <w:rsid w:val="00944645"/>
    <w:rsid w:val="00944CEC"/>
    <w:rsid w:val="009473E9"/>
    <w:rsid w:val="00947B1C"/>
    <w:rsid w:val="00947F4C"/>
    <w:rsid w:val="00950510"/>
    <w:rsid w:val="009525AE"/>
    <w:rsid w:val="00960E09"/>
    <w:rsid w:val="00961C82"/>
    <w:rsid w:val="00965127"/>
    <w:rsid w:val="00967670"/>
    <w:rsid w:val="009708B5"/>
    <w:rsid w:val="009710D5"/>
    <w:rsid w:val="00973D99"/>
    <w:rsid w:val="00976238"/>
    <w:rsid w:val="00976475"/>
    <w:rsid w:val="00982F85"/>
    <w:rsid w:val="009830CF"/>
    <w:rsid w:val="00985CE6"/>
    <w:rsid w:val="009918B1"/>
    <w:rsid w:val="009945A0"/>
    <w:rsid w:val="009A1791"/>
    <w:rsid w:val="009A1C40"/>
    <w:rsid w:val="009A2C52"/>
    <w:rsid w:val="009A3E49"/>
    <w:rsid w:val="009A59E7"/>
    <w:rsid w:val="009A67DD"/>
    <w:rsid w:val="009A71E7"/>
    <w:rsid w:val="009B3000"/>
    <w:rsid w:val="009B3ECB"/>
    <w:rsid w:val="009B566C"/>
    <w:rsid w:val="009C1276"/>
    <w:rsid w:val="009C381D"/>
    <w:rsid w:val="009C51A5"/>
    <w:rsid w:val="009D77FD"/>
    <w:rsid w:val="009D7AD8"/>
    <w:rsid w:val="009E2F82"/>
    <w:rsid w:val="009E4D98"/>
    <w:rsid w:val="009E6A9F"/>
    <w:rsid w:val="009E7788"/>
    <w:rsid w:val="009F3721"/>
    <w:rsid w:val="00A06BD7"/>
    <w:rsid w:val="00A07D7C"/>
    <w:rsid w:val="00A1076F"/>
    <w:rsid w:val="00A10EB5"/>
    <w:rsid w:val="00A10F73"/>
    <w:rsid w:val="00A121AE"/>
    <w:rsid w:val="00A13451"/>
    <w:rsid w:val="00A138A5"/>
    <w:rsid w:val="00A15A6D"/>
    <w:rsid w:val="00A15C6D"/>
    <w:rsid w:val="00A208A6"/>
    <w:rsid w:val="00A2149E"/>
    <w:rsid w:val="00A22D08"/>
    <w:rsid w:val="00A2398C"/>
    <w:rsid w:val="00A25A5F"/>
    <w:rsid w:val="00A3076F"/>
    <w:rsid w:val="00A338D1"/>
    <w:rsid w:val="00A3461F"/>
    <w:rsid w:val="00A34920"/>
    <w:rsid w:val="00A40C0E"/>
    <w:rsid w:val="00A412D7"/>
    <w:rsid w:val="00A4285D"/>
    <w:rsid w:val="00A4472C"/>
    <w:rsid w:val="00A50016"/>
    <w:rsid w:val="00A523A7"/>
    <w:rsid w:val="00A56B75"/>
    <w:rsid w:val="00A61C9B"/>
    <w:rsid w:val="00A64A4F"/>
    <w:rsid w:val="00A650CA"/>
    <w:rsid w:val="00A6798E"/>
    <w:rsid w:val="00A71221"/>
    <w:rsid w:val="00A7173E"/>
    <w:rsid w:val="00A71A5A"/>
    <w:rsid w:val="00A7298B"/>
    <w:rsid w:val="00A739C5"/>
    <w:rsid w:val="00A765CE"/>
    <w:rsid w:val="00A76861"/>
    <w:rsid w:val="00A77D03"/>
    <w:rsid w:val="00A8498C"/>
    <w:rsid w:val="00A84CCF"/>
    <w:rsid w:val="00A85F96"/>
    <w:rsid w:val="00A918F6"/>
    <w:rsid w:val="00A941E2"/>
    <w:rsid w:val="00AA1377"/>
    <w:rsid w:val="00AA31F3"/>
    <w:rsid w:val="00AA522F"/>
    <w:rsid w:val="00AA639B"/>
    <w:rsid w:val="00AA6A13"/>
    <w:rsid w:val="00AA6EFA"/>
    <w:rsid w:val="00AA7C76"/>
    <w:rsid w:val="00AB04CE"/>
    <w:rsid w:val="00AB0893"/>
    <w:rsid w:val="00AB0F3B"/>
    <w:rsid w:val="00AB19B5"/>
    <w:rsid w:val="00AB1B72"/>
    <w:rsid w:val="00AB67F7"/>
    <w:rsid w:val="00AB6EBD"/>
    <w:rsid w:val="00AC0064"/>
    <w:rsid w:val="00AC60EA"/>
    <w:rsid w:val="00AC6223"/>
    <w:rsid w:val="00AC6949"/>
    <w:rsid w:val="00AC6C88"/>
    <w:rsid w:val="00AD0467"/>
    <w:rsid w:val="00AD2A84"/>
    <w:rsid w:val="00AE2BEB"/>
    <w:rsid w:val="00AE3EDB"/>
    <w:rsid w:val="00AE47A6"/>
    <w:rsid w:val="00AE4C0C"/>
    <w:rsid w:val="00AF0B26"/>
    <w:rsid w:val="00AF1366"/>
    <w:rsid w:val="00AF1835"/>
    <w:rsid w:val="00AF27F0"/>
    <w:rsid w:val="00AF2F57"/>
    <w:rsid w:val="00AF6443"/>
    <w:rsid w:val="00AF6ED1"/>
    <w:rsid w:val="00AF7B98"/>
    <w:rsid w:val="00B010C5"/>
    <w:rsid w:val="00B02B90"/>
    <w:rsid w:val="00B039E2"/>
    <w:rsid w:val="00B05171"/>
    <w:rsid w:val="00B05EEE"/>
    <w:rsid w:val="00B1030A"/>
    <w:rsid w:val="00B14641"/>
    <w:rsid w:val="00B16959"/>
    <w:rsid w:val="00B17DD7"/>
    <w:rsid w:val="00B20D2D"/>
    <w:rsid w:val="00B2222B"/>
    <w:rsid w:val="00B22BD2"/>
    <w:rsid w:val="00B312DA"/>
    <w:rsid w:val="00B32962"/>
    <w:rsid w:val="00B34062"/>
    <w:rsid w:val="00B35C69"/>
    <w:rsid w:val="00B41C9B"/>
    <w:rsid w:val="00B429C3"/>
    <w:rsid w:val="00B44D19"/>
    <w:rsid w:val="00B4507F"/>
    <w:rsid w:val="00B45659"/>
    <w:rsid w:val="00B50AD3"/>
    <w:rsid w:val="00B53BD5"/>
    <w:rsid w:val="00B53CF6"/>
    <w:rsid w:val="00B56F83"/>
    <w:rsid w:val="00B647C8"/>
    <w:rsid w:val="00B7216B"/>
    <w:rsid w:val="00B72931"/>
    <w:rsid w:val="00B7625E"/>
    <w:rsid w:val="00B7683E"/>
    <w:rsid w:val="00B77067"/>
    <w:rsid w:val="00B803A5"/>
    <w:rsid w:val="00B803C3"/>
    <w:rsid w:val="00B80697"/>
    <w:rsid w:val="00B8080E"/>
    <w:rsid w:val="00B82524"/>
    <w:rsid w:val="00B83E75"/>
    <w:rsid w:val="00B865C3"/>
    <w:rsid w:val="00B86845"/>
    <w:rsid w:val="00B86C13"/>
    <w:rsid w:val="00B872D8"/>
    <w:rsid w:val="00B91775"/>
    <w:rsid w:val="00B91D79"/>
    <w:rsid w:val="00B91DC5"/>
    <w:rsid w:val="00B9368F"/>
    <w:rsid w:val="00B94CF0"/>
    <w:rsid w:val="00B96630"/>
    <w:rsid w:val="00B96705"/>
    <w:rsid w:val="00BA2933"/>
    <w:rsid w:val="00BA34C1"/>
    <w:rsid w:val="00BA3C89"/>
    <w:rsid w:val="00BA7AC1"/>
    <w:rsid w:val="00BB019C"/>
    <w:rsid w:val="00BB0452"/>
    <w:rsid w:val="00BB0850"/>
    <w:rsid w:val="00BB174B"/>
    <w:rsid w:val="00BB2458"/>
    <w:rsid w:val="00BB25C3"/>
    <w:rsid w:val="00BB472D"/>
    <w:rsid w:val="00BB4965"/>
    <w:rsid w:val="00BB5674"/>
    <w:rsid w:val="00BB5DBA"/>
    <w:rsid w:val="00BB64CF"/>
    <w:rsid w:val="00BC020A"/>
    <w:rsid w:val="00BC0D27"/>
    <w:rsid w:val="00BC175E"/>
    <w:rsid w:val="00BC3389"/>
    <w:rsid w:val="00BC498E"/>
    <w:rsid w:val="00BC697A"/>
    <w:rsid w:val="00BD1C7B"/>
    <w:rsid w:val="00BD4E00"/>
    <w:rsid w:val="00BD55D6"/>
    <w:rsid w:val="00BE1D5E"/>
    <w:rsid w:val="00BE49D4"/>
    <w:rsid w:val="00BE5C72"/>
    <w:rsid w:val="00BF19A4"/>
    <w:rsid w:val="00BF4909"/>
    <w:rsid w:val="00BF6E26"/>
    <w:rsid w:val="00BF79F6"/>
    <w:rsid w:val="00C00140"/>
    <w:rsid w:val="00C012CE"/>
    <w:rsid w:val="00C05AE4"/>
    <w:rsid w:val="00C073C2"/>
    <w:rsid w:val="00C15634"/>
    <w:rsid w:val="00C15F57"/>
    <w:rsid w:val="00C2089F"/>
    <w:rsid w:val="00C21A41"/>
    <w:rsid w:val="00C255D9"/>
    <w:rsid w:val="00C30F60"/>
    <w:rsid w:val="00C31279"/>
    <w:rsid w:val="00C315E6"/>
    <w:rsid w:val="00C32546"/>
    <w:rsid w:val="00C32BBB"/>
    <w:rsid w:val="00C34245"/>
    <w:rsid w:val="00C40440"/>
    <w:rsid w:val="00C41547"/>
    <w:rsid w:val="00C432C1"/>
    <w:rsid w:val="00C43B30"/>
    <w:rsid w:val="00C46F29"/>
    <w:rsid w:val="00C5106D"/>
    <w:rsid w:val="00C528D8"/>
    <w:rsid w:val="00C535D9"/>
    <w:rsid w:val="00C569E3"/>
    <w:rsid w:val="00C61F38"/>
    <w:rsid w:val="00C62E16"/>
    <w:rsid w:val="00C634C2"/>
    <w:rsid w:val="00C6379E"/>
    <w:rsid w:val="00C6382B"/>
    <w:rsid w:val="00C65752"/>
    <w:rsid w:val="00C735F0"/>
    <w:rsid w:val="00C749FA"/>
    <w:rsid w:val="00C75936"/>
    <w:rsid w:val="00C76A0F"/>
    <w:rsid w:val="00C80539"/>
    <w:rsid w:val="00C85B76"/>
    <w:rsid w:val="00C87AFD"/>
    <w:rsid w:val="00C90C27"/>
    <w:rsid w:val="00C93DBD"/>
    <w:rsid w:val="00C97DC2"/>
    <w:rsid w:val="00CA3840"/>
    <w:rsid w:val="00CA67AE"/>
    <w:rsid w:val="00CB06FA"/>
    <w:rsid w:val="00CB0D13"/>
    <w:rsid w:val="00CB1727"/>
    <w:rsid w:val="00CB27BA"/>
    <w:rsid w:val="00CB3AE5"/>
    <w:rsid w:val="00CB51F6"/>
    <w:rsid w:val="00CB79A1"/>
    <w:rsid w:val="00CC20A5"/>
    <w:rsid w:val="00CC3009"/>
    <w:rsid w:val="00CC3297"/>
    <w:rsid w:val="00CC47A9"/>
    <w:rsid w:val="00CC7106"/>
    <w:rsid w:val="00CC7A07"/>
    <w:rsid w:val="00CC7AB0"/>
    <w:rsid w:val="00CD0CEC"/>
    <w:rsid w:val="00CD1055"/>
    <w:rsid w:val="00CD153F"/>
    <w:rsid w:val="00CD5E28"/>
    <w:rsid w:val="00CD7FE2"/>
    <w:rsid w:val="00CE09AB"/>
    <w:rsid w:val="00CE1D8C"/>
    <w:rsid w:val="00CE2F6C"/>
    <w:rsid w:val="00CE33C3"/>
    <w:rsid w:val="00CE40BC"/>
    <w:rsid w:val="00CE52BF"/>
    <w:rsid w:val="00CE5941"/>
    <w:rsid w:val="00CE6F2D"/>
    <w:rsid w:val="00CE7F66"/>
    <w:rsid w:val="00CF0073"/>
    <w:rsid w:val="00CF49DD"/>
    <w:rsid w:val="00CF5EE7"/>
    <w:rsid w:val="00D01E95"/>
    <w:rsid w:val="00D03EAB"/>
    <w:rsid w:val="00D0502C"/>
    <w:rsid w:val="00D05BBB"/>
    <w:rsid w:val="00D06BF4"/>
    <w:rsid w:val="00D133C5"/>
    <w:rsid w:val="00D13B1A"/>
    <w:rsid w:val="00D174C9"/>
    <w:rsid w:val="00D273D4"/>
    <w:rsid w:val="00D274CA"/>
    <w:rsid w:val="00D30C86"/>
    <w:rsid w:val="00D30EC3"/>
    <w:rsid w:val="00D31196"/>
    <w:rsid w:val="00D33571"/>
    <w:rsid w:val="00D349CB"/>
    <w:rsid w:val="00D37B01"/>
    <w:rsid w:val="00D41DF3"/>
    <w:rsid w:val="00D41ED1"/>
    <w:rsid w:val="00D44DCA"/>
    <w:rsid w:val="00D44EFB"/>
    <w:rsid w:val="00D4707D"/>
    <w:rsid w:val="00D472F8"/>
    <w:rsid w:val="00D47696"/>
    <w:rsid w:val="00D543BB"/>
    <w:rsid w:val="00D61743"/>
    <w:rsid w:val="00D62B64"/>
    <w:rsid w:val="00D64BD8"/>
    <w:rsid w:val="00D71EB8"/>
    <w:rsid w:val="00D75EE5"/>
    <w:rsid w:val="00D76C6D"/>
    <w:rsid w:val="00D772FE"/>
    <w:rsid w:val="00D77FBD"/>
    <w:rsid w:val="00D81625"/>
    <w:rsid w:val="00D834A3"/>
    <w:rsid w:val="00D84475"/>
    <w:rsid w:val="00D8457B"/>
    <w:rsid w:val="00D85409"/>
    <w:rsid w:val="00D9018E"/>
    <w:rsid w:val="00D90E09"/>
    <w:rsid w:val="00D915E9"/>
    <w:rsid w:val="00D930D6"/>
    <w:rsid w:val="00D93DA6"/>
    <w:rsid w:val="00D97181"/>
    <w:rsid w:val="00D9747A"/>
    <w:rsid w:val="00D97F8C"/>
    <w:rsid w:val="00DA5022"/>
    <w:rsid w:val="00DA7622"/>
    <w:rsid w:val="00DA7BB7"/>
    <w:rsid w:val="00DB046E"/>
    <w:rsid w:val="00DB557C"/>
    <w:rsid w:val="00DB6954"/>
    <w:rsid w:val="00DC1161"/>
    <w:rsid w:val="00DC3234"/>
    <w:rsid w:val="00DC51FF"/>
    <w:rsid w:val="00DC68C5"/>
    <w:rsid w:val="00DD0EB7"/>
    <w:rsid w:val="00DD2D57"/>
    <w:rsid w:val="00DD2F8C"/>
    <w:rsid w:val="00DD41B3"/>
    <w:rsid w:val="00DD4385"/>
    <w:rsid w:val="00DE1208"/>
    <w:rsid w:val="00DE3A63"/>
    <w:rsid w:val="00DE5190"/>
    <w:rsid w:val="00DE5B2B"/>
    <w:rsid w:val="00DE61C7"/>
    <w:rsid w:val="00DF5B3E"/>
    <w:rsid w:val="00DF6B21"/>
    <w:rsid w:val="00E01085"/>
    <w:rsid w:val="00E0244D"/>
    <w:rsid w:val="00E069B2"/>
    <w:rsid w:val="00E10109"/>
    <w:rsid w:val="00E12887"/>
    <w:rsid w:val="00E148EE"/>
    <w:rsid w:val="00E16DDB"/>
    <w:rsid w:val="00E1787E"/>
    <w:rsid w:val="00E209F6"/>
    <w:rsid w:val="00E23D6B"/>
    <w:rsid w:val="00E35B47"/>
    <w:rsid w:val="00E40B4A"/>
    <w:rsid w:val="00E41881"/>
    <w:rsid w:val="00E429FB"/>
    <w:rsid w:val="00E42D1D"/>
    <w:rsid w:val="00E456A3"/>
    <w:rsid w:val="00E4571B"/>
    <w:rsid w:val="00E45EDF"/>
    <w:rsid w:val="00E5013E"/>
    <w:rsid w:val="00E54039"/>
    <w:rsid w:val="00E5516A"/>
    <w:rsid w:val="00E57B58"/>
    <w:rsid w:val="00E62453"/>
    <w:rsid w:val="00E641D7"/>
    <w:rsid w:val="00E64372"/>
    <w:rsid w:val="00E65CDB"/>
    <w:rsid w:val="00E667C9"/>
    <w:rsid w:val="00E778DF"/>
    <w:rsid w:val="00E80A2E"/>
    <w:rsid w:val="00E820C2"/>
    <w:rsid w:val="00E83A3D"/>
    <w:rsid w:val="00E847DE"/>
    <w:rsid w:val="00E84935"/>
    <w:rsid w:val="00E84CC6"/>
    <w:rsid w:val="00E91EB2"/>
    <w:rsid w:val="00E9267D"/>
    <w:rsid w:val="00E93486"/>
    <w:rsid w:val="00E95D4C"/>
    <w:rsid w:val="00EA3810"/>
    <w:rsid w:val="00EB15AE"/>
    <w:rsid w:val="00EB1948"/>
    <w:rsid w:val="00EB27DF"/>
    <w:rsid w:val="00EB4234"/>
    <w:rsid w:val="00EB5843"/>
    <w:rsid w:val="00EB6EAA"/>
    <w:rsid w:val="00EC1264"/>
    <w:rsid w:val="00EC392B"/>
    <w:rsid w:val="00ED01A9"/>
    <w:rsid w:val="00ED108D"/>
    <w:rsid w:val="00ED2694"/>
    <w:rsid w:val="00ED73CC"/>
    <w:rsid w:val="00EE0BBE"/>
    <w:rsid w:val="00EE2B0B"/>
    <w:rsid w:val="00EE41A7"/>
    <w:rsid w:val="00EE50CA"/>
    <w:rsid w:val="00EE580D"/>
    <w:rsid w:val="00EF5BEF"/>
    <w:rsid w:val="00EF7111"/>
    <w:rsid w:val="00EF7BFF"/>
    <w:rsid w:val="00EF7F89"/>
    <w:rsid w:val="00F009AA"/>
    <w:rsid w:val="00F02933"/>
    <w:rsid w:val="00F02AC1"/>
    <w:rsid w:val="00F040CF"/>
    <w:rsid w:val="00F06917"/>
    <w:rsid w:val="00F0716C"/>
    <w:rsid w:val="00F11892"/>
    <w:rsid w:val="00F1261A"/>
    <w:rsid w:val="00F1315E"/>
    <w:rsid w:val="00F1572C"/>
    <w:rsid w:val="00F16841"/>
    <w:rsid w:val="00F20CA6"/>
    <w:rsid w:val="00F21BA7"/>
    <w:rsid w:val="00F2274D"/>
    <w:rsid w:val="00F23195"/>
    <w:rsid w:val="00F23C1A"/>
    <w:rsid w:val="00F26F78"/>
    <w:rsid w:val="00F322EF"/>
    <w:rsid w:val="00F34D7A"/>
    <w:rsid w:val="00F35DFD"/>
    <w:rsid w:val="00F44E49"/>
    <w:rsid w:val="00F542B2"/>
    <w:rsid w:val="00F56225"/>
    <w:rsid w:val="00F62A6D"/>
    <w:rsid w:val="00F73FF2"/>
    <w:rsid w:val="00F770A3"/>
    <w:rsid w:val="00F940E2"/>
    <w:rsid w:val="00F94FA7"/>
    <w:rsid w:val="00FA3A17"/>
    <w:rsid w:val="00FA5DC1"/>
    <w:rsid w:val="00FA7606"/>
    <w:rsid w:val="00FB0026"/>
    <w:rsid w:val="00FB4161"/>
    <w:rsid w:val="00FB47DE"/>
    <w:rsid w:val="00FC4885"/>
    <w:rsid w:val="00FC7DD3"/>
    <w:rsid w:val="00FD02FE"/>
    <w:rsid w:val="00FD2DED"/>
    <w:rsid w:val="00FD5798"/>
    <w:rsid w:val="00FE015B"/>
    <w:rsid w:val="00FE016E"/>
    <w:rsid w:val="00FE31BD"/>
    <w:rsid w:val="00FE629B"/>
    <w:rsid w:val="00FF5A40"/>
    <w:rsid w:val="00FF60DE"/>
    <w:rsid w:val="00FF6DFC"/>
    <w:rsid w:val="055F2E64"/>
    <w:rsid w:val="0AF4270F"/>
    <w:rsid w:val="0D7D3D8E"/>
    <w:rsid w:val="0ECE7177"/>
    <w:rsid w:val="0F8C582D"/>
    <w:rsid w:val="1D702480"/>
    <w:rsid w:val="20940110"/>
    <w:rsid w:val="243624B2"/>
    <w:rsid w:val="292B532C"/>
    <w:rsid w:val="2A7114F1"/>
    <w:rsid w:val="45A46A24"/>
    <w:rsid w:val="4B6A49F9"/>
    <w:rsid w:val="576A3619"/>
    <w:rsid w:val="67475C0C"/>
    <w:rsid w:val="762A73A7"/>
    <w:rsid w:val="7E11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0"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41"/>
    <w:qFormat/>
    <w:uiPriority w:val="99"/>
    <w:pPr>
      <w:spacing w:before="100" w:beforeLines="100" w:after="100" w:afterLines="100"/>
      <w:jc w:val="left"/>
      <w:outlineLvl w:val="0"/>
    </w:pPr>
    <w:rPr>
      <w:rFonts w:ascii="宋体" w:hAnsi="宋体" w:eastAsia="黑体"/>
      <w:bCs/>
      <w:kern w:val="44"/>
      <w:szCs w:val="32"/>
    </w:rPr>
  </w:style>
  <w:style w:type="paragraph" w:styleId="5">
    <w:name w:val="heading 2"/>
    <w:basedOn w:val="1"/>
    <w:next w:val="1"/>
    <w:link w:val="42"/>
    <w:qFormat/>
    <w:uiPriority w:val="99"/>
    <w:pPr>
      <w:spacing w:after="302" w:afterLines="50"/>
      <w:ind w:firstLine="640"/>
      <w:outlineLvl w:val="1"/>
    </w:pPr>
    <w:rPr>
      <w:rFonts w:ascii="楷体" w:hAnsi="楷体" w:eastAsia="仿宋_GB2312"/>
    </w:rPr>
  </w:style>
  <w:style w:type="paragraph" w:styleId="6">
    <w:name w:val="heading 3"/>
    <w:basedOn w:val="1"/>
    <w:next w:val="1"/>
    <w:link w:val="43"/>
    <w:qFormat/>
    <w:uiPriority w:val="99"/>
    <w:pPr>
      <w:keepNext/>
      <w:keepLines/>
      <w:spacing w:before="50" w:beforeLines="50" w:after="50" w:afterLines="50"/>
      <w:outlineLvl w:val="2"/>
    </w:pPr>
    <w:rPr>
      <w:rFonts w:eastAsia="楷体"/>
      <w:b/>
      <w:bCs/>
      <w:sz w:val="28"/>
      <w:szCs w:val="32"/>
      <w:shd w:val="clear" w:color="auto" w:fill="FFFFFF"/>
    </w:rPr>
  </w:style>
  <w:style w:type="paragraph" w:styleId="7">
    <w:name w:val="heading 4"/>
    <w:basedOn w:val="1"/>
    <w:next w:val="1"/>
    <w:link w:val="44"/>
    <w:qFormat/>
    <w:uiPriority w:val="99"/>
    <w:pPr>
      <w:outlineLvl w:val="3"/>
    </w:pPr>
    <w:rPr>
      <w:rFonts w:ascii="宋体" w:hAnsi="宋体" w:eastAsia="仿宋_GB2312"/>
      <w:color w:val="000000"/>
    </w:rPr>
  </w:style>
  <w:style w:type="paragraph" w:styleId="8">
    <w:name w:val="heading 5"/>
    <w:basedOn w:val="9"/>
    <w:next w:val="1"/>
    <w:link w:val="45"/>
    <w:qFormat/>
    <w:uiPriority w:val="99"/>
    <w:pPr>
      <w:spacing w:before="302" w:after="302" w:afterLines="50"/>
      <w:outlineLvl w:val="4"/>
    </w:pPr>
    <w:rPr>
      <w:rFonts w:ascii="黑体" w:hAnsi="黑体" w:eastAsia="黑体"/>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2"/>
    <w:link w:val="49"/>
    <w:qFormat/>
    <w:uiPriority w:val="99"/>
    <w:pPr>
      <w:spacing w:after="120"/>
      <w:ind w:left="420" w:leftChars="200"/>
    </w:pPr>
    <w:rPr>
      <w:rFonts w:eastAsia="仿宋_GB2312"/>
    </w:rPr>
  </w:style>
  <w:style w:type="paragraph" w:styleId="9">
    <w:name w:val="caption"/>
    <w:basedOn w:val="1"/>
    <w:next w:val="1"/>
    <w:link w:val="58"/>
    <w:qFormat/>
    <w:uiPriority w:val="99"/>
    <w:pPr>
      <w:spacing w:beforeLines="50"/>
      <w:ind w:firstLine="0" w:firstLineChars="0"/>
      <w:jc w:val="center"/>
    </w:pPr>
    <w:rPr>
      <w:rFonts w:eastAsia="华文仿宋"/>
      <w:b/>
      <w:kern w:val="0"/>
      <w:sz w:val="21"/>
      <w:szCs w:val="20"/>
    </w:rPr>
  </w:style>
  <w:style w:type="paragraph" w:styleId="10">
    <w:name w:val="toc 7"/>
    <w:basedOn w:val="1"/>
    <w:next w:val="1"/>
    <w:qFormat/>
    <w:uiPriority w:val="99"/>
    <w:pPr>
      <w:ind w:left="1680"/>
      <w:jc w:val="left"/>
    </w:pPr>
    <w:rPr>
      <w:rFonts w:eastAsia="仿宋_GB2312"/>
      <w:sz w:val="18"/>
      <w:szCs w:val="18"/>
    </w:rPr>
  </w:style>
  <w:style w:type="paragraph" w:styleId="11">
    <w:name w:val="Document Map"/>
    <w:basedOn w:val="1"/>
    <w:link w:val="48"/>
    <w:qFormat/>
    <w:uiPriority w:val="99"/>
    <w:rPr>
      <w:rFonts w:ascii="Heiti SC Light" w:eastAsia="Times New Roman"/>
      <w:sz w:val="24"/>
    </w:rPr>
  </w:style>
  <w:style w:type="paragraph" w:styleId="12">
    <w:name w:val="annotation text"/>
    <w:basedOn w:val="1"/>
    <w:link w:val="46"/>
    <w:unhideWhenUsed/>
    <w:qFormat/>
    <w:uiPriority w:val="99"/>
    <w:pPr>
      <w:spacing w:line="240" w:lineRule="auto"/>
    </w:pPr>
    <w:rPr>
      <w:sz w:val="20"/>
      <w:szCs w:val="20"/>
    </w:rPr>
  </w:style>
  <w:style w:type="paragraph" w:styleId="13">
    <w:name w:val="toc 5"/>
    <w:basedOn w:val="1"/>
    <w:next w:val="1"/>
    <w:qFormat/>
    <w:uiPriority w:val="99"/>
    <w:pPr>
      <w:ind w:left="1120"/>
      <w:jc w:val="left"/>
    </w:pPr>
    <w:rPr>
      <w:rFonts w:eastAsia="仿宋_GB2312"/>
      <w:sz w:val="18"/>
      <w:szCs w:val="18"/>
    </w:rPr>
  </w:style>
  <w:style w:type="paragraph" w:styleId="14">
    <w:name w:val="toc 3"/>
    <w:basedOn w:val="1"/>
    <w:next w:val="1"/>
    <w:qFormat/>
    <w:uiPriority w:val="39"/>
    <w:pPr>
      <w:tabs>
        <w:tab w:val="right" w:leader="dot" w:pos="8834"/>
      </w:tabs>
      <w:ind w:left="560" w:firstLine="472"/>
      <w:jc w:val="left"/>
    </w:pPr>
    <w:rPr>
      <w:rFonts w:eastAsia="仿宋_GB2312"/>
      <w:iCs/>
      <w:sz w:val="24"/>
      <w:szCs w:val="20"/>
    </w:rPr>
  </w:style>
  <w:style w:type="paragraph" w:styleId="15">
    <w:name w:val="toc 8"/>
    <w:basedOn w:val="1"/>
    <w:next w:val="1"/>
    <w:qFormat/>
    <w:uiPriority w:val="99"/>
    <w:pPr>
      <w:ind w:left="1960"/>
      <w:jc w:val="left"/>
    </w:pPr>
    <w:rPr>
      <w:rFonts w:eastAsia="仿宋_GB2312"/>
      <w:sz w:val="18"/>
      <w:szCs w:val="18"/>
    </w:rPr>
  </w:style>
  <w:style w:type="paragraph" w:styleId="16">
    <w:name w:val="Body Text Indent 2"/>
    <w:basedOn w:val="1"/>
    <w:link w:val="50"/>
    <w:qFormat/>
    <w:uiPriority w:val="99"/>
    <w:pPr>
      <w:ind w:firstLine="594"/>
    </w:pPr>
    <w:rPr>
      <w:rFonts w:ascii="仿宋_GB2312" w:eastAsia="仿宋_GB2312"/>
      <w:szCs w:val="28"/>
    </w:rPr>
  </w:style>
  <w:style w:type="paragraph" w:styleId="17">
    <w:name w:val="endnote text"/>
    <w:basedOn w:val="1"/>
    <w:link w:val="81"/>
    <w:semiHidden/>
    <w:unhideWhenUsed/>
    <w:qFormat/>
    <w:uiPriority w:val="99"/>
    <w:pPr>
      <w:spacing w:line="240" w:lineRule="auto"/>
    </w:pPr>
    <w:rPr>
      <w:sz w:val="20"/>
      <w:szCs w:val="20"/>
    </w:rPr>
  </w:style>
  <w:style w:type="paragraph" w:styleId="18">
    <w:name w:val="Balloon Text"/>
    <w:basedOn w:val="1"/>
    <w:link w:val="51"/>
    <w:qFormat/>
    <w:uiPriority w:val="99"/>
    <w:rPr>
      <w:rFonts w:ascii="Heiti SC Light" w:eastAsia="Times New Roman"/>
      <w:sz w:val="18"/>
      <w:szCs w:val="18"/>
    </w:rPr>
  </w:style>
  <w:style w:type="paragraph" w:styleId="19">
    <w:name w:val="footer"/>
    <w:basedOn w:val="1"/>
    <w:link w:val="52"/>
    <w:qFormat/>
    <w:uiPriority w:val="99"/>
    <w:pPr>
      <w:tabs>
        <w:tab w:val="center" w:pos="4153"/>
        <w:tab w:val="right" w:pos="8306"/>
      </w:tabs>
      <w:jc w:val="left"/>
    </w:pPr>
    <w:rPr>
      <w:sz w:val="18"/>
      <w:szCs w:val="18"/>
    </w:rPr>
  </w:style>
  <w:style w:type="paragraph" w:styleId="20">
    <w:name w:val="header"/>
    <w:basedOn w:val="1"/>
    <w:link w:val="53"/>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tabs>
        <w:tab w:val="right" w:leader="dot" w:pos="8834"/>
      </w:tabs>
      <w:spacing w:before="120" w:after="120"/>
      <w:ind w:firstLine="0" w:firstLineChars="0"/>
      <w:jc w:val="left"/>
    </w:pPr>
    <w:rPr>
      <w:rFonts w:ascii="黑体" w:hAnsi="黑体" w:eastAsia="黑体"/>
      <w:b/>
      <w:bCs/>
      <w:caps/>
      <w:szCs w:val="20"/>
    </w:rPr>
  </w:style>
  <w:style w:type="paragraph" w:styleId="22">
    <w:name w:val="toc 4"/>
    <w:basedOn w:val="1"/>
    <w:next w:val="1"/>
    <w:qFormat/>
    <w:uiPriority w:val="99"/>
    <w:pPr>
      <w:ind w:left="840"/>
      <w:jc w:val="left"/>
    </w:pPr>
    <w:rPr>
      <w:rFonts w:eastAsia="仿宋_GB2312"/>
      <w:sz w:val="18"/>
      <w:szCs w:val="18"/>
    </w:rPr>
  </w:style>
  <w:style w:type="paragraph" w:styleId="23">
    <w:name w:val="List"/>
    <w:basedOn w:val="1"/>
    <w:semiHidden/>
    <w:unhideWhenUsed/>
    <w:qFormat/>
    <w:uiPriority w:val="99"/>
    <w:pPr>
      <w:ind w:left="200" w:hanging="200" w:hangingChars="200"/>
      <w:contextualSpacing/>
    </w:pPr>
  </w:style>
  <w:style w:type="paragraph" w:styleId="24">
    <w:name w:val="footnote text"/>
    <w:basedOn w:val="1"/>
    <w:link w:val="54"/>
    <w:qFormat/>
    <w:uiPriority w:val="99"/>
    <w:pPr>
      <w:jc w:val="left"/>
    </w:pPr>
    <w:rPr>
      <w:rFonts w:eastAsia="仿宋_GB2312"/>
      <w:sz w:val="18"/>
      <w:szCs w:val="18"/>
    </w:rPr>
  </w:style>
  <w:style w:type="paragraph" w:styleId="25">
    <w:name w:val="toc 6"/>
    <w:basedOn w:val="1"/>
    <w:next w:val="1"/>
    <w:qFormat/>
    <w:uiPriority w:val="99"/>
    <w:pPr>
      <w:ind w:left="1400"/>
      <w:jc w:val="left"/>
    </w:pPr>
    <w:rPr>
      <w:rFonts w:eastAsia="仿宋_GB2312"/>
      <w:sz w:val="18"/>
      <w:szCs w:val="18"/>
    </w:rPr>
  </w:style>
  <w:style w:type="paragraph" w:styleId="26">
    <w:name w:val="table of figures"/>
    <w:basedOn w:val="1"/>
    <w:next w:val="1"/>
    <w:unhideWhenUsed/>
    <w:qFormat/>
    <w:uiPriority w:val="99"/>
  </w:style>
  <w:style w:type="paragraph" w:styleId="27">
    <w:name w:val="toc 2"/>
    <w:basedOn w:val="1"/>
    <w:next w:val="1"/>
    <w:qFormat/>
    <w:uiPriority w:val="39"/>
    <w:pPr>
      <w:tabs>
        <w:tab w:val="right" w:leader="dot" w:pos="8834"/>
      </w:tabs>
      <w:ind w:left="280" w:firstLine="6" w:firstLineChars="2"/>
      <w:jc w:val="left"/>
    </w:pPr>
    <w:rPr>
      <w:rFonts w:eastAsia="仿宋_GB2312"/>
      <w:smallCaps/>
      <w:szCs w:val="20"/>
    </w:rPr>
  </w:style>
  <w:style w:type="paragraph" w:styleId="28">
    <w:name w:val="toc 9"/>
    <w:basedOn w:val="1"/>
    <w:next w:val="1"/>
    <w:qFormat/>
    <w:uiPriority w:val="99"/>
    <w:pPr>
      <w:ind w:left="2240"/>
      <w:jc w:val="left"/>
    </w:pPr>
    <w:rPr>
      <w:rFonts w:eastAsia="仿宋_GB2312"/>
      <w:sz w:val="18"/>
      <w:szCs w:val="18"/>
    </w:rPr>
  </w:style>
  <w:style w:type="paragraph" w:styleId="29">
    <w:name w:val="Normal (Web)"/>
    <w:basedOn w:val="1"/>
    <w:qFormat/>
    <w:uiPriority w:val="99"/>
    <w:pPr>
      <w:widowControl/>
      <w:spacing w:before="100" w:beforeAutospacing="1" w:after="100" w:afterAutospacing="1"/>
      <w:ind w:firstLine="0" w:firstLineChars="0"/>
      <w:jc w:val="left"/>
    </w:pPr>
    <w:rPr>
      <w:rFonts w:ascii="Times" w:hAnsi="Times" w:eastAsia="宋体"/>
      <w:kern w:val="0"/>
      <w:sz w:val="20"/>
      <w:szCs w:val="20"/>
    </w:rPr>
  </w:style>
  <w:style w:type="paragraph" w:styleId="30">
    <w:name w:val="annotation subject"/>
    <w:basedOn w:val="12"/>
    <w:next w:val="12"/>
    <w:link w:val="47"/>
    <w:qFormat/>
    <w:uiPriority w:val="99"/>
    <w:pPr>
      <w:spacing w:line="560" w:lineRule="exact"/>
      <w:jc w:val="left"/>
    </w:pPr>
    <w:rPr>
      <w:b/>
      <w:bCs/>
      <w:sz w:val="32"/>
      <w:szCs w:val="24"/>
    </w:rPr>
  </w:style>
  <w:style w:type="table" w:styleId="32">
    <w:name w:val="Table Grid"/>
    <w:basedOn w:val="31"/>
    <w:qFormat/>
    <w:uiPriority w:val="39"/>
    <w:pPr>
      <w:spacing w:after="0" w:line="240" w:lineRule="auto"/>
    </w:pPr>
    <w:rPr>
      <w:rFonts w:ascii="Cambria" w:hAnsi="Cambria" w:eastAsia="宋体" w:cs="Cambr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rFonts w:cs="Times New Roman"/>
      <w:b/>
      <w:bCs/>
    </w:rPr>
  </w:style>
  <w:style w:type="character" w:styleId="35">
    <w:name w:val="endnote reference"/>
    <w:basedOn w:val="33"/>
    <w:semiHidden/>
    <w:unhideWhenUsed/>
    <w:qFormat/>
    <w:uiPriority w:val="99"/>
    <w:rPr>
      <w:vertAlign w:val="superscript"/>
    </w:rPr>
  </w:style>
  <w:style w:type="character" w:styleId="36">
    <w:name w:val="page number"/>
    <w:basedOn w:val="33"/>
    <w:qFormat/>
    <w:uiPriority w:val="99"/>
    <w:rPr>
      <w:rFonts w:cs="Times New Roman"/>
    </w:rPr>
  </w:style>
  <w:style w:type="character" w:styleId="37">
    <w:name w:val="Emphasis"/>
    <w:basedOn w:val="33"/>
    <w:qFormat/>
    <w:uiPriority w:val="99"/>
    <w:rPr>
      <w:rFonts w:ascii="Cambria" w:hAnsi="Cambria" w:eastAsia="仿宋" w:cs="Times New Roman"/>
      <w:b/>
      <w:iCs/>
      <w:color w:val="auto"/>
      <w:sz w:val="32"/>
    </w:rPr>
  </w:style>
  <w:style w:type="character" w:styleId="38">
    <w:name w:val="Hyperlink"/>
    <w:basedOn w:val="33"/>
    <w:qFormat/>
    <w:uiPriority w:val="99"/>
    <w:rPr>
      <w:rFonts w:cs="Times New Roman"/>
      <w:color w:val="0000FF"/>
      <w:u w:val="single"/>
    </w:rPr>
  </w:style>
  <w:style w:type="character" w:styleId="39">
    <w:name w:val="annotation reference"/>
    <w:basedOn w:val="33"/>
    <w:qFormat/>
    <w:uiPriority w:val="99"/>
    <w:rPr>
      <w:rFonts w:cs="Times New Roman"/>
      <w:sz w:val="21"/>
      <w:szCs w:val="21"/>
    </w:rPr>
  </w:style>
  <w:style w:type="character" w:styleId="40">
    <w:name w:val="footnote reference"/>
    <w:basedOn w:val="33"/>
    <w:qFormat/>
    <w:uiPriority w:val="99"/>
    <w:rPr>
      <w:rFonts w:cs="Times New Roman"/>
      <w:vertAlign w:val="superscript"/>
    </w:rPr>
  </w:style>
  <w:style w:type="character" w:customStyle="1" w:styleId="41">
    <w:name w:val="Heading 1 Char"/>
    <w:basedOn w:val="33"/>
    <w:link w:val="4"/>
    <w:qFormat/>
    <w:uiPriority w:val="99"/>
    <w:rPr>
      <w:rFonts w:ascii="宋体" w:hAnsi="宋体" w:eastAsia="黑体" w:cs="Times New Roman"/>
      <w:bCs/>
      <w:kern w:val="44"/>
      <w:sz w:val="32"/>
      <w:szCs w:val="32"/>
    </w:rPr>
  </w:style>
  <w:style w:type="character" w:customStyle="1" w:styleId="42">
    <w:name w:val="Heading 2 Char"/>
    <w:basedOn w:val="33"/>
    <w:link w:val="5"/>
    <w:qFormat/>
    <w:uiPriority w:val="99"/>
    <w:rPr>
      <w:rFonts w:ascii="楷体" w:hAnsi="楷体" w:eastAsia="仿宋_GB2312" w:cs="Times New Roman"/>
      <w:kern w:val="2"/>
      <w:sz w:val="32"/>
      <w:szCs w:val="24"/>
    </w:rPr>
  </w:style>
  <w:style w:type="character" w:customStyle="1" w:styleId="43">
    <w:name w:val="Heading 3 Char"/>
    <w:basedOn w:val="33"/>
    <w:link w:val="6"/>
    <w:qFormat/>
    <w:uiPriority w:val="99"/>
    <w:rPr>
      <w:rFonts w:ascii="Times New Roman" w:hAnsi="Times New Roman" w:eastAsia="楷体" w:cs="Times New Roman"/>
      <w:b/>
      <w:bCs/>
      <w:kern w:val="2"/>
      <w:sz w:val="28"/>
      <w:szCs w:val="32"/>
    </w:rPr>
  </w:style>
  <w:style w:type="character" w:customStyle="1" w:styleId="44">
    <w:name w:val="Heading 4 Char"/>
    <w:basedOn w:val="33"/>
    <w:link w:val="7"/>
    <w:qFormat/>
    <w:uiPriority w:val="99"/>
    <w:rPr>
      <w:rFonts w:ascii="宋体" w:hAnsi="宋体" w:eastAsia="仿宋_GB2312" w:cs="Times New Roman"/>
      <w:color w:val="000000"/>
      <w:kern w:val="2"/>
      <w:sz w:val="32"/>
      <w:szCs w:val="24"/>
    </w:rPr>
  </w:style>
  <w:style w:type="character" w:customStyle="1" w:styleId="45">
    <w:name w:val="Heading 5 Char"/>
    <w:basedOn w:val="33"/>
    <w:link w:val="8"/>
    <w:qFormat/>
    <w:uiPriority w:val="99"/>
    <w:rPr>
      <w:rFonts w:ascii="黑体" w:hAnsi="黑体" w:eastAsia="黑体" w:cs="Times New Roman"/>
      <w:b/>
      <w:sz w:val="28"/>
      <w:szCs w:val="28"/>
    </w:rPr>
  </w:style>
  <w:style w:type="character" w:customStyle="1" w:styleId="46">
    <w:name w:val="Comment Text Char"/>
    <w:basedOn w:val="33"/>
    <w:link w:val="12"/>
    <w:qFormat/>
    <w:uiPriority w:val="99"/>
    <w:rPr>
      <w:rFonts w:ascii="Times New Roman" w:hAnsi="Times New Roman" w:eastAsia="仿宋" w:cs="Times New Roman"/>
      <w:kern w:val="2"/>
      <w:sz w:val="20"/>
      <w:szCs w:val="20"/>
    </w:rPr>
  </w:style>
  <w:style w:type="character" w:customStyle="1" w:styleId="47">
    <w:name w:val="Comment Subject Char"/>
    <w:basedOn w:val="46"/>
    <w:link w:val="30"/>
    <w:qFormat/>
    <w:uiPriority w:val="99"/>
    <w:rPr>
      <w:rFonts w:ascii="Times New Roman" w:hAnsi="Times New Roman" w:eastAsia="仿宋" w:cs="Times New Roman"/>
      <w:b/>
      <w:bCs/>
      <w:kern w:val="2"/>
      <w:sz w:val="32"/>
      <w:szCs w:val="24"/>
    </w:rPr>
  </w:style>
  <w:style w:type="character" w:customStyle="1" w:styleId="48">
    <w:name w:val="Document Map Char"/>
    <w:basedOn w:val="33"/>
    <w:link w:val="11"/>
    <w:qFormat/>
    <w:uiPriority w:val="99"/>
    <w:rPr>
      <w:rFonts w:ascii="Heiti SC Light" w:hAnsi="Times New Roman" w:eastAsia="Times New Roman" w:cs="Times New Roman"/>
      <w:kern w:val="2"/>
      <w:sz w:val="24"/>
      <w:szCs w:val="24"/>
    </w:rPr>
  </w:style>
  <w:style w:type="character" w:customStyle="1" w:styleId="49">
    <w:name w:val="Body Text Indent Char"/>
    <w:basedOn w:val="33"/>
    <w:link w:val="3"/>
    <w:qFormat/>
    <w:uiPriority w:val="99"/>
    <w:rPr>
      <w:rFonts w:ascii="Times New Roman" w:hAnsi="Times New Roman" w:eastAsia="仿宋_GB2312" w:cs="Times New Roman"/>
      <w:kern w:val="2"/>
      <w:sz w:val="32"/>
      <w:szCs w:val="24"/>
    </w:rPr>
  </w:style>
  <w:style w:type="character" w:customStyle="1" w:styleId="50">
    <w:name w:val="Body Text Indent 2 Char"/>
    <w:basedOn w:val="33"/>
    <w:link w:val="16"/>
    <w:qFormat/>
    <w:uiPriority w:val="99"/>
    <w:rPr>
      <w:rFonts w:ascii="仿宋_GB2312" w:hAnsi="Times New Roman" w:eastAsia="仿宋_GB2312" w:cs="Times New Roman"/>
      <w:kern w:val="2"/>
      <w:sz w:val="32"/>
      <w:szCs w:val="28"/>
    </w:rPr>
  </w:style>
  <w:style w:type="character" w:customStyle="1" w:styleId="51">
    <w:name w:val="Balloon Text Char"/>
    <w:basedOn w:val="33"/>
    <w:link w:val="18"/>
    <w:qFormat/>
    <w:uiPriority w:val="99"/>
    <w:rPr>
      <w:rFonts w:ascii="Heiti SC Light" w:hAnsi="Times New Roman" w:eastAsia="Times New Roman" w:cs="Times New Roman"/>
      <w:kern w:val="2"/>
      <w:sz w:val="18"/>
      <w:szCs w:val="18"/>
    </w:rPr>
  </w:style>
  <w:style w:type="character" w:customStyle="1" w:styleId="52">
    <w:name w:val="Footer Char"/>
    <w:basedOn w:val="33"/>
    <w:link w:val="19"/>
    <w:qFormat/>
    <w:uiPriority w:val="99"/>
    <w:rPr>
      <w:rFonts w:ascii="Times New Roman" w:hAnsi="Times New Roman" w:eastAsia="仿宋" w:cs="Times New Roman"/>
      <w:kern w:val="2"/>
      <w:sz w:val="18"/>
      <w:szCs w:val="18"/>
    </w:rPr>
  </w:style>
  <w:style w:type="character" w:customStyle="1" w:styleId="53">
    <w:name w:val="Header Char"/>
    <w:basedOn w:val="33"/>
    <w:link w:val="20"/>
    <w:qFormat/>
    <w:uiPriority w:val="99"/>
    <w:rPr>
      <w:rFonts w:ascii="Times New Roman" w:hAnsi="Times New Roman" w:eastAsia="仿宋" w:cs="Times New Roman"/>
      <w:kern w:val="2"/>
      <w:sz w:val="18"/>
      <w:szCs w:val="18"/>
    </w:rPr>
  </w:style>
  <w:style w:type="character" w:customStyle="1" w:styleId="54">
    <w:name w:val="Footnote Text Char"/>
    <w:basedOn w:val="33"/>
    <w:link w:val="24"/>
    <w:qFormat/>
    <w:uiPriority w:val="99"/>
    <w:rPr>
      <w:rFonts w:ascii="Times New Roman" w:hAnsi="Times New Roman" w:eastAsia="仿宋_GB2312" w:cs="Times New Roman"/>
      <w:kern w:val="2"/>
      <w:sz w:val="18"/>
      <w:szCs w:val="18"/>
    </w:rPr>
  </w:style>
  <w:style w:type="character" w:customStyle="1" w:styleId="55">
    <w:name w:val="不明显强调1"/>
    <w:basedOn w:val="33"/>
    <w:qFormat/>
    <w:uiPriority w:val="99"/>
    <w:rPr>
      <w:rFonts w:ascii="Times New Roman" w:hAnsi="Times New Roman" w:eastAsia="仿宋" w:cs="Times New Roman"/>
      <w:b/>
      <w:bCs/>
      <w:iCs/>
      <w:sz w:val="32"/>
      <w:szCs w:val="32"/>
    </w:rPr>
  </w:style>
  <w:style w:type="paragraph" w:customStyle="1" w:styleId="56">
    <w:name w:val="无间隔1"/>
    <w:qFormat/>
    <w:uiPriority w:val="99"/>
    <w:pPr>
      <w:widowControl w:val="0"/>
      <w:spacing w:after="0" w:line="240" w:lineRule="auto"/>
      <w:ind w:firstLine="200" w:firstLineChars="200"/>
      <w:jc w:val="both"/>
    </w:pPr>
    <w:rPr>
      <w:rFonts w:ascii="Cambria" w:hAnsi="Cambria" w:eastAsia="仿宋" w:cs="Times New Roman"/>
      <w:kern w:val="2"/>
      <w:sz w:val="28"/>
      <w:szCs w:val="24"/>
      <w:lang w:val="en-US" w:eastAsia="zh-CN" w:bidi="ar-SA"/>
    </w:rPr>
  </w:style>
  <w:style w:type="table" w:customStyle="1" w:styleId="57">
    <w:name w:val="网格型1"/>
    <w:qFormat/>
    <w:uiPriority w:val="9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
    <w:name w:val="Caption Char"/>
    <w:link w:val="9"/>
    <w:qFormat/>
    <w:locked/>
    <w:uiPriority w:val="99"/>
    <w:rPr>
      <w:rFonts w:ascii="Times New Roman" w:hAnsi="Times New Roman" w:eastAsia="华文仿宋" w:cs="Times New Roman"/>
      <w:b/>
      <w:sz w:val="21"/>
      <w:szCs w:val="20"/>
    </w:rPr>
  </w:style>
  <w:style w:type="paragraph" w:customStyle="1" w:styleId="59">
    <w:name w:val="Char"/>
    <w:basedOn w:val="1"/>
    <w:semiHidden/>
    <w:qFormat/>
    <w:uiPriority w:val="99"/>
    <w:rPr>
      <w:rFonts w:eastAsia="仿宋_GB2312"/>
      <w:szCs w:val="32"/>
    </w:rPr>
  </w:style>
  <w:style w:type="paragraph" w:customStyle="1" w:styleId="60">
    <w:name w:val="Char Char Char Char"/>
    <w:basedOn w:val="1"/>
    <w:semiHidden/>
    <w:qFormat/>
    <w:uiPriority w:val="99"/>
    <w:rPr>
      <w:rFonts w:eastAsia="仿宋_GB2312"/>
      <w:szCs w:val="32"/>
    </w:rPr>
  </w:style>
  <w:style w:type="paragraph" w:customStyle="1" w:styleId="61">
    <w:name w:val="11p1 + 宋体"/>
    <w:basedOn w:val="5"/>
    <w:qFormat/>
    <w:uiPriority w:val="99"/>
    <w:pPr>
      <w:spacing w:before="240" w:after="240"/>
    </w:pPr>
    <w:rPr>
      <w:rFonts w:ascii="宋体" w:hAnsi="宋体" w:eastAsia="宋体"/>
      <w:bCs/>
      <w:color w:val="000000"/>
      <w:kern w:val="0"/>
      <w:szCs w:val="28"/>
    </w:rPr>
  </w:style>
  <w:style w:type="character" w:customStyle="1" w:styleId="62">
    <w:name w:val="样式 11p1 + 宋体 小四 加粗"/>
    <w:qFormat/>
    <w:uiPriority w:val="99"/>
    <w:rPr>
      <w:rFonts w:ascii="宋体" w:hAnsi="宋体" w:eastAsia="黑体"/>
      <w:kern w:val="0"/>
      <w:sz w:val="23"/>
    </w:rPr>
  </w:style>
  <w:style w:type="paragraph" w:customStyle="1" w:styleId="63">
    <w:name w:val="样式 标题 3 + 宋体 小四 行距: 固定值 20 磅"/>
    <w:basedOn w:val="6"/>
    <w:qFormat/>
    <w:uiPriority w:val="99"/>
    <w:pPr>
      <w:spacing w:line="240" w:lineRule="auto"/>
      <w:ind w:firstLine="685"/>
    </w:pPr>
    <w:rPr>
      <w:rFonts w:ascii="黑体" w:hAnsi="黑体" w:eastAsia="黑体" w:cs="宋体"/>
      <w:b w:val="0"/>
      <w:szCs w:val="20"/>
      <w:shd w:val="clear" w:color="auto" w:fill="auto"/>
    </w:rPr>
  </w:style>
  <w:style w:type="character" w:customStyle="1" w:styleId="64">
    <w:name w:val="p21"/>
    <w:qFormat/>
    <w:uiPriority w:val="99"/>
    <w:rPr>
      <w:sz w:val="18"/>
    </w:rPr>
  </w:style>
  <w:style w:type="paragraph" w:customStyle="1" w:styleId="65">
    <w:name w:val="彩色列表 - 强调文字颜色 11"/>
    <w:basedOn w:val="1"/>
    <w:qFormat/>
    <w:uiPriority w:val="99"/>
    <w:pPr>
      <w:ind w:firstLine="420"/>
    </w:pPr>
    <w:rPr>
      <w:rFonts w:eastAsia="仿宋_GB2312"/>
    </w:rPr>
  </w:style>
  <w:style w:type="paragraph" w:customStyle="1" w:styleId="66">
    <w:name w:val="Char Char Char1 Char"/>
    <w:basedOn w:val="1"/>
    <w:qFormat/>
    <w:uiPriority w:val="99"/>
    <w:rPr>
      <w:rFonts w:eastAsia="宋体"/>
      <w:sz w:val="21"/>
    </w:rPr>
  </w:style>
  <w:style w:type="paragraph" w:customStyle="1" w:styleId="67">
    <w:name w:val="Default"/>
    <w:qFormat/>
    <w:uiPriority w:val="0"/>
    <w:pPr>
      <w:widowControl w:val="0"/>
      <w:autoSpaceDE w:val="0"/>
      <w:autoSpaceDN w:val="0"/>
      <w:adjustRightInd w:val="0"/>
      <w:spacing w:after="0" w:line="240" w:lineRule="auto"/>
    </w:pPr>
    <w:rPr>
      <w:rFonts w:ascii="仿宋" w:hAnsi="Times New Roman" w:eastAsia="仿宋" w:cs="仿宋"/>
      <w:color w:val="000000"/>
      <w:sz w:val="24"/>
      <w:szCs w:val="24"/>
      <w:lang w:val="en-US" w:eastAsia="zh-CN" w:bidi="ar-SA"/>
    </w:rPr>
  </w:style>
  <w:style w:type="paragraph" w:customStyle="1" w:styleId="68">
    <w:name w:val="修订1"/>
    <w:hidden/>
    <w:semiHidden/>
    <w:qFormat/>
    <w:uiPriority w:val="99"/>
    <w:pPr>
      <w:spacing w:after="0" w:line="240" w:lineRule="auto"/>
    </w:pPr>
    <w:rPr>
      <w:rFonts w:ascii="Cambria" w:hAnsi="Cambria" w:eastAsia="仿宋" w:cs="Times New Roman"/>
      <w:kern w:val="2"/>
      <w:sz w:val="28"/>
      <w:szCs w:val="24"/>
      <w:lang w:val="en-US" w:eastAsia="zh-CN" w:bidi="ar-SA"/>
    </w:rPr>
  </w:style>
  <w:style w:type="paragraph" w:customStyle="1" w:styleId="69">
    <w:name w:val="列出段落1"/>
    <w:basedOn w:val="1"/>
    <w:qFormat/>
    <w:uiPriority w:val="99"/>
    <w:pPr>
      <w:ind w:firstLine="420"/>
    </w:pPr>
  </w:style>
  <w:style w:type="paragraph" w:customStyle="1" w:styleId="70">
    <w:name w:val="无间隔2"/>
    <w:qFormat/>
    <w:uiPriority w:val="99"/>
    <w:pPr>
      <w:widowControl w:val="0"/>
      <w:spacing w:after="0" w:line="240" w:lineRule="auto"/>
      <w:ind w:firstLine="200" w:firstLineChars="200"/>
      <w:jc w:val="both"/>
    </w:pPr>
    <w:rPr>
      <w:rFonts w:ascii="Cambria" w:hAnsi="Cambria" w:eastAsia="仿宋" w:cs="Times New Roman"/>
      <w:kern w:val="2"/>
      <w:sz w:val="28"/>
      <w:szCs w:val="24"/>
      <w:lang w:val="en-US" w:eastAsia="zh-CN" w:bidi="ar-SA"/>
    </w:rPr>
  </w:style>
  <w:style w:type="paragraph" w:customStyle="1" w:styleId="71">
    <w:name w:val="列出段落2"/>
    <w:basedOn w:val="1"/>
    <w:qFormat/>
    <w:uiPriority w:val="99"/>
    <w:pPr>
      <w:ind w:firstLine="420"/>
    </w:pPr>
  </w:style>
  <w:style w:type="character" w:customStyle="1" w:styleId="72">
    <w:name w:val="MSG_EN_FONT_STYLE_NAME_TEMPLATE_ROLE_NUMBER MSG_EN_FONT_STYLE_NAME_BY_ROLE_TEXT 2_"/>
    <w:link w:val="73"/>
    <w:qFormat/>
    <w:locked/>
    <w:uiPriority w:val="99"/>
    <w:rPr>
      <w:rFonts w:ascii="PMingLiU" w:hAnsi="PMingLiU" w:eastAsia="PMingLiU"/>
      <w:sz w:val="26"/>
      <w:shd w:val="clear" w:color="auto" w:fill="FFFFFF"/>
    </w:rPr>
  </w:style>
  <w:style w:type="paragraph" w:customStyle="1" w:styleId="73">
    <w:name w:val="MSG_EN_FONT_STYLE_NAME_TEMPLATE_ROLE_NUMBER MSG_EN_FONT_STYLE_NAME_BY_ROLE_TEXT 2"/>
    <w:basedOn w:val="1"/>
    <w:link w:val="72"/>
    <w:qFormat/>
    <w:uiPriority w:val="99"/>
    <w:pPr>
      <w:shd w:val="clear" w:color="auto" w:fill="FFFFFF"/>
      <w:adjustRightInd/>
      <w:snapToGrid/>
      <w:spacing w:before="420" w:after="1420" w:line="260" w:lineRule="exact"/>
      <w:ind w:firstLine="0" w:firstLineChars="0"/>
      <w:jc w:val="center"/>
    </w:pPr>
    <w:rPr>
      <w:rFonts w:ascii="PMingLiU" w:hAnsi="PMingLiU" w:eastAsia="PMingLiU" w:cstheme="minorBidi"/>
      <w:kern w:val="0"/>
      <w:sz w:val="26"/>
      <w:szCs w:val="22"/>
    </w:rPr>
  </w:style>
  <w:style w:type="table" w:customStyle="1" w:styleId="74">
    <w:name w:val="清单表 3 - 着色 11"/>
    <w:qFormat/>
    <w:uiPriority w:val="99"/>
    <w:pPr>
      <w:spacing w:after="0" w:line="240" w:lineRule="auto"/>
    </w:pPr>
    <w:rPr>
      <w:rFonts w:ascii="Times New Roman" w:hAnsi="Times New Roman" w:eastAsia="宋体" w:cs="Times New Roman"/>
      <w:sz w:val="20"/>
      <w:szCs w:val="20"/>
      <w:lang w:val="en-GB"/>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cs="Times New Roman"/>
        <w:b/>
        <w:bCs/>
        <w:color w:val="C7EDCC"/>
      </w:rPr>
      <w:tcPr>
        <w:shd w:val="clear" w:color="auto" w:fill="4F81BD"/>
      </w:tcPr>
    </w:tblStylePr>
    <w:tblStylePr w:type="lastRow">
      <w:rPr>
        <w:rFonts w:cs="Times New Roman"/>
        <w:b/>
        <w:bCs/>
      </w:rPr>
      <w:tcPr>
        <w:tcBorders>
          <w:top w:val="double" w:color="4F81BD" w:sz="4" w:space="0"/>
        </w:tcBorders>
        <w:shd w:val="clear" w:color="auto" w:fill="C7EDCC"/>
      </w:tcPr>
    </w:tblStylePr>
    <w:tblStylePr w:type="firstCol">
      <w:rPr>
        <w:rFonts w:cs="Times New Roman"/>
        <w:b/>
        <w:bCs/>
      </w:rPr>
      <w:tcPr>
        <w:tcBorders>
          <w:right w:val="nil"/>
        </w:tcBorders>
        <w:shd w:val="clear" w:color="auto" w:fill="C7EDCC"/>
      </w:tcPr>
    </w:tblStylePr>
    <w:tblStylePr w:type="lastCol">
      <w:rPr>
        <w:rFonts w:cs="Times New Roman"/>
        <w:b/>
        <w:bCs/>
      </w:rPr>
      <w:tcPr>
        <w:tcBorders>
          <w:left w:val="nil"/>
        </w:tcBorders>
        <w:shd w:val="clear" w:color="auto" w:fill="C7EDCC"/>
      </w:tcPr>
    </w:tblStylePr>
    <w:tblStylePr w:type="band1Vert">
      <w:rPr>
        <w:rFonts w:cs="Times New Roman"/>
      </w:rPr>
      <w:tcPr>
        <w:tcBorders>
          <w:left w:val="single" w:color="4F81BD" w:sz="4" w:space="0"/>
          <w:right w:val="single" w:color="4F81BD" w:sz="4" w:space="0"/>
        </w:tcBorders>
      </w:tcPr>
    </w:tblStylePr>
    <w:tblStylePr w:type="band1Horz">
      <w:rPr>
        <w:rFonts w:cs="Times New Roman"/>
      </w:rPr>
      <w:tcPr>
        <w:tcBorders>
          <w:top w:val="single" w:color="4F81BD" w:sz="4" w:space="0"/>
          <w:bottom w:val="single" w:color="4F81BD" w:sz="4" w:space="0"/>
          <w:insideH w:val="nil"/>
        </w:tcBorders>
      </w:tcPr>
    </w:tblStylePr>
    <w:tblStylePr w:type="neCell">
      <w:rPr>
        <w:rFonts w:cs="Times New Roman"/>
      </w:rPr>
      <w:tcPr>
        <w:tcBorders>
          <w:left w:val="nil"/>
          <w:bottom w:val="nil"/>
        </w:tcBorders>
      </w:tcPr>
    </w:tblStylePr>
    <w:tblStylePr w:type="nwCell">
      <w:rPr>
        <w:rFonts w:cs="Times New Roman"/>
      </w:rPr>
      <w:tcPr>
        <w:tcBorders>
          <w:bottom w:val="nil"/>
          <w:right w:val="nil"/>
        </w:tcBorders>
      </w:tcPr>
    </w:tblStylePr>
    <w:tblStylePr w:type="seCell">
      <w:rPr>
        <w:rFonts w:cs="Times New Roman"/>
      </w:rPr>
      <w:tcPr>
        <w:tcBorders>
          <w:top w:val="double" w:color="4F81BD" w:sz="4" w:space="0"/>
          <w:left w:val="nil"/>
        </w:tcBorders>
      </w:tcPr>
    </w:tblStylePr>
    <w:tblStylePr w:type="swCell">
      <w:rPr>
        <w:rFonts w:cs="Times New Roman"/>
      </w:rPr>
      <w:tcPr>
        <w:tcBorders>
          <w:top w:val="double" w:color="4F81BD" w:sz="4" w:space="0"/>
          <w:right w:val="nil"/>
        </w:tcBorders>
      </w:tcPr>
    </w:tblStylePr>
  </w:style>
  <w:style w:type="character" w:customStyle="1" w:styleId="75">
    <w:name w:val="明显强调1"/>
    <w:basedOn w:val="33"/>
    <w:qFormat/>
    <w:uiPriority w:val="21"/>
    <w:rPr>
      <w:b/>
      <w:bCs/>
      <w:i/>
      <w:iCs/>
      <w:color w:val="4472C4" w:themeColor="accent1"/>
      <w14:textFill>
        <w14:solidFill>
          <w14:schemeClr w14:val="accent1"/>
        </w14:solidFill>
      </w14:textFill>
    </w:rPr>
  </w:style>
  <w:style w:type="character" w:customStyle="1" w:styleId="76">
    <w:name w:val="MSG_EN_FONT_STYLE_NAME_TEMPLATE_ROLE_NUMBER MSG_EN_FONT_STYLE_NAME_BY_ROLE_TEXT 2 + MSG_EN_FONT_STYLE_MODIFER_SPACING 2"/>
    <w:qFormat/>
    <w:uiPriority w:val="0"/>
    <w:rPr>
      <w:rFonts w:ascii="PMingLiU" w:hAnsi="PMingLiU" w:eastAsia="PMingLiU" w:cs="PMingLiU"/>
      <w:color w:val="000000"/>
      <w:spacing w:val="50"/>
      <w:w w:val="100"/>
      <w:position w:val="0"/>
      <w:sz w:val="26"/>
      <w:szCs w:val="26"/>
      <w:u w:val="none"/>
      <w:lang w:val="zh-CN" w:eastAsia="zh-CN" w:bidi="zh-CN"/>
    </w:rPr>
  </w:style>
  <w:style w:type="character" w:customStyle="1" w:styleId="77">
    <w:name w:val="MSG_EN_FONT_STYLE_NAME_TEMPLATE_ROLE_NUMBER MSG_EN_FONT_STYLE_NAME_BY_ROLE_TEXT 2 + MSG_EN_FONT_STYLE_MODIFER_SPACING 3"/>
    <w:qFormat/>
    <w:uiPriority w:val="0"/>
    <w:rPr>
      <w:rFonts w:ascii="PMingLiU" w:hAnsi="PMingLiU" w:eastAsia="PMingLiU" w:cs="PMingLiU"/>
      <w:color w:val="000000"/>
      <w:spacing w:val="60"/>
      <w:w w:val="100"/>
      <w:position w:val="0"/>
      <w:sz w:val="26"/>
      <w:szCs w:val="26"/>
      <w:u w:val="none"/>
      <w:lang w:val="zh-CN" w:eastAsia="zh-CN" w:bidi="zh-CN"/>
    </w:rPr>
  </w:style>
  <w:style w:type="paragraph" w:styleId="78">
    <w:name w:val="List Paragraph"/>
    <w:basedOn w:val="1"/>
    <w:qFormat/>
    <w:uiPriority w:val="34"/>
    <w:pPr>
      <w:ind w:left="720"/>
      <w:contextualSpacing/>
    </w:pPr>
  </w:style>
  <w:style w:type="paragraph" w:customStyle="1" w:styleId="79">
    <w:name w:val="正文1"/>
    <w:basedOn w:val="1"/>
    <w:link w:val="80"/>
    <w:qFormat/>
    <w:uiPriority w:val="0"/>
    <w:pPr>
      <w:snapToGrid/>
      <w:spacing w:before="60" w:after="60" w:line="578" w:lineRule="exact"/>
      <w:contextualSpacing/>
    </w:pPr>
    <w:rPr>
      <w:rFonts w:ascii="仿宋_GB2312" w:hAnsi="宋体" w:eastAsia="仿宋_GB2312"/>
      <w:szCs w:val="28"/>
    </w:rPr>
  </w:style>
  <w:style w:type="character" w:customStyle="1" w:styleId="80">
    <w:name w:val="正文1 Char"/>
    <w:basedOn w:val="33"/>
    <w:link w:val="79"/>
    <w:qFormat/>
    <w:uiPriority w:val="0"/>
    <w:rPr>
      <w:rFonts w:ascii="仿宋_GB2312" w:hAnsi="宋体" w:eastAsia="仿宋_GB2312" w:cs="Times New Roman"/>
      <w:kern w:val="2"/>
      <w:sz w:val="32"/>
      <w:szCs w:val="28"/>
    </w:rPr>
  </w:style>
  <w:style w:type="character" w:customStyle="1" w:styleId="81">
    <w:name w:val="Endnote Text Char"/>
    <w:basedOn w:val="33"/>
    <w:link w:val="17"/>
    <w:semiHidden/>
    <w:qFormat/>
    <w:uiPriority w:val="99"/>
    <w:rPr>
      <w:rFonts w:ascii="Times New Roman" w:hAnsi="Times New Roman" w:eastAsia="仿宋" w:cs="Times New Roman"/>
      <w:kern w:val="2"/>
      <w:sz w:val="20"/>
      <w:szCs w:val="20"/>
    </w:rPr>
  </w:style>
  <w:style w:type="paragraph" w:customStyle="1" w:styleId="82">
    <w:name w:val="楷体小标题"/>
    <w:basedOn w:val="1"/>
    <w:link w:val="84"/>
    <w:qFormat/>
    <w:uiPriority w:val="0"/>
    <w:pPr>
      <w:spacing w:before="50" w:beforeLines="50" w:after="50" w:afterLines="50"/>
    </w:pPr>
    <w:rPr>
      <w:rFonts w:ascii="楷体" w:hAnsi="楷体" w:eastAsia="楷体"/>
    </w:rPr>
  </w:style>
  <w:style w:type="paragraph" w:customStyle="1" w:styleId="83">
    <w:name w:val="表"/>
    <w:basedOn w:val="1"/>
    <w:link w:val="85"/>
    <w:qFormat/>
    <w:uiPriority w:val="0"/>
    <w:pPr>
      <w:numPr>
        <w:ilvl w:val="0"/>
        <w:numId w:val="1"/>
      </w:numPr>
      <w:spacing w:before="302" w:beforeLines="50" w:after="302" w:afterLines="50"/>
      <w:ind w:firstLine="0" w:firstLineChars="0"/>
      <w:jc w:val="center"/>
    </w:pPr>
    <w:rPr>
      <w:rFonts w:ascii="黑体" w:hAnsi="黑体" w:eastAsia="仿宋_GB2312"/>
      <w:bCs/>
      <w:szCs w:val="28"/>
    </w:rPr>
  </w:style>
  <w:style w:type="character" w:customStyle="1" w:styleId="84">
    <w:name w:val="楷体小标题 Char"/>
    <w:basedOn w:val="33"/>
    <w:link w:val="82"/>
    <w:qFormat/>
    <w:uiPriority w:val="0"/>
    <w:rPr>
      <w:rFonts w:ascii="楷体" w:hAnsi="楷体" w:eastAsia="楷体" w:cs="Times New Roman"/>
      <w:kern w:val="2"/>
      <w:sz w:val="32"/>
      <w:szCs w:val="24"/>
    </w:rPr>
  </w:style>
  <w:style w:type="character" w:customStyle="1" w:styleId="85">
    <w:name w:val="表 Char"/>
    <w:basedOn w:val="33"/>
    <w:link w:val="83"/>
    <w:qFormat/>
    <w:uiPriority w:val="0"/>
    <w:rPr>
      <w:rFonts w:ascii="黑体" w:hAnsi="黑体" w:eastAsia="仿宋_GB2312" w:cs="Times New Roman"/>
      <w:bCs/>
      <w:kern w:val="2"/>
      <w:sz w:val="32"/>
      <w:szCs w:val="28"/>
    </w:rPr>
  </w:style>
  <w:style w:type="paragraph" w:customStyle="1" w:styleId="86">
    <w:name w:val="表格内"/>
    <w:basedOn w:val="1"/>
    <w:link w:val="87"/>
    <w:qFormat/>
    <w:uiPriority w:val="0"/>
    <w:pPr>
      <w:spacing w:line="360" w:lineRule="auto"/>
    </w:pPr>
    <w:rPr>
      <w:rFonts w:ascii="仿宋_GB2312" w:hAnsi="仿宋_GB2312" w:eastAsia="仿宋_GB2312"/>
      <w:szCs w:val="21"/>
    </w:rPr>
  </w:style>
  <w:style w:type="character" w:customStyle="1" w:styleId="87">
    <w:name w:val="表格内 Char"/>
    <w:basedOn w:val="33"/>
    <w:link w:val="86"/>
    <w:qFormat/>
    <w:uiPriority w:val="0"/>
    <w:rPr>
      <w:rFonts w:ascii="仿宋_GB2312" w:hAnsi="仿宋_GB2312" w:eastAsia="仿宋_GB2312" w:cs="Times New Roman"/>
      <w:kern w:val="2"/>
      <w:sz w:val="32"/>
      <w:szCs w:val="21"/>
    </w:rPr>
  </w:style>
  <w:style w:type="paragraph" w:customStyle="1" w:styleId="88">
    <w:name w:val="Revision"/>
    <w:hidden/>
    <w:semiHidden/>
    <w:qFormat/>
    <w:uiPriority w:val="99"/>
    <w:pPr>
      <w:spacing w:after="0" w:line="240" w:lineRule="auto"/>
    </w:pPr>
    <w:rPr>
      <w:rFonts w:ascii="Times New Roman" w:hAnsi="Times New Roman" w:eastAsia="仿宋" w:cs="Times New Roman"/>
      <w:kern w:val="2"/>
      <w:sz w:val="32"/>
      <w:szCs w:val="24"/>
      <w:lang w:val="en-US" w:eastAsia="zh-CN" w:bidi="ar-SA"/>
    </w:rPr>
  </w:style>
  <w:style w:type="character" w:customStyle="1" w:styleId="89">
    <w:name w:val="Unresolved Mention"/>
    <w:basedOn w:val="33"/>
    <w:semiHidden/>
    <w:unhideWhenUsed/>
    <w:qFormat/>
    <w:uiPriority w:val="99"/>
    <w:rPr>
      <w:color w:val="605E5C"/>
      <w:shd w:val="clear" w:color="auto" w:fill="E1DFDD"/>
    </w:rPr>
  </w:style>
  <w:style w:type="paragraph" w:customStyle="1" w:styleId="90">
    <w:name w:val="TOC Heading"/>
    <w:basedOn w:val="4"/>
    <w:next w:val="1"/>
    <w:unhideWhenUsed/>
    <w:qFormat/>
    <w:uiPriority w:val="39"/>
    <w:pPr>
      <w:keepNext/>
      <w:keepLines/>
      <w:widowControl/>
      <w:adjustRightInd/>
      <w:snapToGrid/>
      <w:spacing w:before="240" w:beforeLines="0" w:after="0" w:afterLines="0" w:line="259" w:lineRule="auto"/>
      <w:ind w:firstLine="0" w:firstLineChars="0"/>
      <w:outlineLvl w:val="9"/>
    </w:pPr>
    <w:rPr>
      <w:rFonts w:asciiTheme="majorHAnsi" w:hAnsiTheme="majorHAnsi" w:eastAsiaTheme="majorEastAsia" w:cstheme="majorBidi"/>
      <w:bCs w:val="0"/>
      <w:color w:val="2F5597" w:themeColor="accent1" w:themeShade="BF"/>
      <w:kern w:val="0"/>
      <w:lang w:eastAsia="en-US"/>
    </w:rPr>
  </w:style>
  <w:style w:type="character" w:customStyle="1" w:styleId="91">
    <w:name w:val="bjh-p"/>
    <w:basedOn w:val="33"/>
    <w:qFormat/>
    <w:uiPriority w:val="0"/>
  </w:style>
  <w:style w:type="character" w:customStyle="1" w:styleId="92">
    <w:name w:val="c-font-normal2"/>
    <w:basedOn w:val="33"/>
    <w:qFormat/>
    <w:uiPriority w:val="0"/>
  </w:style>
  <w:style w:type="paragraph" w:customStyle="1" w:styleId="93">
    <w:name w:val="样式1"/>
    <w:basedOn w:val="86"/>
    <w:link w:val="94"/>
    <w:qFormat/>
    <w:uiPriority w:val="0"/>
    <w:pPr>
      <w:ind w:firstLine="562"/>
    </w:pPr>
    <w:rPr>
      <w:rFonts w:ascii="楷体" w:hAnsi="楷体" w:eastAsia="楷体"/>
      <w:b/>
      <w:bCs/>
      <w:szCs w:val="28"/>
    </w:rPr>
  </w:style>
  <w:style w:type="character" w:customStyle="1" w:styleId="94">
    <w:name w:val="样式1 字符"/>
    <w:basedOn w:val="87"/>
    <w:link w:val="93"/>
    <w:qFormat/>
    <w:uiPriority w:val="0"/>
    <w:rPr>
      <w:rFonts w:ascii="楷体" w:hAnsi="楷体" w:eastAsia="楷体" w:cs="Times New Roman"/>
      <w:b/>
      <w:bCs/>
      <w:kern w:val="2"/>
      <w:sz w:val="28"/>
      <w:szCs w:val="28"/>
    </w:rPr>
  </w:style>
  <w:style w:type="paragraph" w:customStyle="1" w:styleId="95">
    <w:name w:val="Style1"/>
    <w:basedOn w:val="79"/>
    <w:link w:val="97"/>
    <w:qFormat/>
    <w:uiPriority w:val="0"/>
    <w:pPr>
      <w:ind w:firstLine="640"/>
      <w:jc w:val="center"/>
    </w:pPr>
  </w:style>
  <w:style w:type="paragraph" w:customStyle="1" w:styleId="96">
    <w:name w:val="图"/>
    <w:basedOn w:val="79"/>
    <w:link w:val="99"/>
    <w:qFormat/>
    <w:uiPriority w:val="0"/>
    <w:pPr>
      <w:numPr>
        <w:ilvl w:val="0"/>
        <w:numId w:val="2"/>
      </w:numPr>
      <w:spacing w:line="578" w:lineRule="atLeast"/>
      <w:ind w:firstLine="0" w:firstLineChars="0"/>
      <w:jc w:val="center"/>
    </w:pPr>
    <w:rPr>
      <w:rFonts w:hAnsi="楷体"/>
      <w:szCs w:val="32"/>
    </w:rPr>
  </w:style>
  <w:style w:type="character" w:customStyle="1" w:styleId="97">
    <w:name w:val="Style1 Char"/>
    <w:basedOn w:val="80"/>
    <w:link w:val="95"/>
    <w:qFormat/>
    <w:uiPriority w:val="0"/>
    <w:rPr>
      <w:rFonts w:ascii="仿宋_GB2312" w:hAnsi="宋体" w:eastAsia="仿宋_GB2312" w:cs="Times New Roman"/>
      <w:kern w:val="2"/>
      <w:sz w:val="32"/>
      <w:szCs w:val="28"/>
    </w:rPr>
  </w:style>
  <w:style w:type="paragraph" w:customStyle="1" w:styleId="98">
    <w:name w:val="图，"/>
    <w:basedOn w:val="96"/>
    <w:link w:val="100"/>
    <w:qFormat/>
    <w:uiPriority w:val="0"/>
    <w:pPr>
      <w:numPr>
        <w:ilvl w:val="0"/>
        <w:numId w:val="3"/>
      </w:numPr>
      <w:spacing w:line="560" w:lineRule="exact"/>
      <w:ind w:left="0" w:firstLine="0"/>
    </w:pPr>
    <w:rPr>
      <w:rFonts w:ascii="黑体" w:hAnsi="黑体"/>
    </w:rPr>
  </w:style>
  <w:style w:type="character" w:customStyle="1" w:styleId="99">
    <w:name w:val="图 Char"/>
    <w:basedOn w:val="80"/>
    <w:link w:val="96"/>
    <w:qFormat/>
    <w:uiPriority w:val="0"/>
    <w:rPr>
      <w:rFonts w:ascii="仿宋_GB2312" w:hAnsi="楷体" w:eastAsia="仿宋_GB2312" w:cs="Times New Roman"/>
      <w:kern w:val="2"/>
      <w:sz w:val="32"/>
      <w:szCs w:val="32"/>
    </w:rPr>
  </w:style>
  <w:style w:type="character" w:customStyle="1" w:styleId="100">
    <w:name w:val="图， Char"/>
    <w:basedOn w:val="85"/>
    <w:link w:val="98"/>
    <w:qFormat/>
    <w:uiPriority w:val="0"/>
    <w:rPr>
      <w:rFonts w:ascii="黑体" w:hAnsi="黑体" w:eastAsia="仿宋_GB2312" w:cs="Times New Roman"/>
      <w:bCs w:val="0"/>
      <w:kern w:val="2"/>
      <w:sz w:val="32"/>
      <w:szCs w:val="32"/>
    </w:rPr>
  </w:style>
  <w:style w:type="paragraph" w:customStyle="1" w:styleId="101">
    <w:name w:val="Heading 11"/>
    <w:basedOn w:val="4"/>
    <w:link w:val="103"/>
    <w:qFormat/>
    <w:uiPriority w:val="0"/>
    <w:pPr>
      <w:spacing w:before="60" w:beforeLines="0" w:after="60" w:afterLines="0" w:line="578" w:lineRule="exact"/>
    </w:pPr>
    <w:rPr>
      <w:rFonts w:ascii="黑体" w:hAnsi="黑体"/>
    </w:rPr>
  </w:style>
  <w:style w:type="paragraph" w:customStyle="1" w:styleId="102">
    <w:name w:val="Heading 21"/>
    <w:basedOn w:val="5"/>
    <w:link w:val="105"/>
    <w:qFormat/>
    <w:uiPriority w:val="0"/>
    <w:pPr>
      <w:snapToGrid/>
      <w:spacing w:before="60" w:after="60" w:afterLines="0" w:line="578" w:lineRule="exact"/>
      <w:ind w:firstLine="200"/>
      <w:contextualSpacing/>
    </w:pPr>
    <w:rPr>
      <w:rFonts w:ascii="楷体_GB2312" w:hAnsi="楷体_GB2312"/>
      <w:b/>
    </w:rPr>
  </w:style>
  <w:style w:type="character" w:customStyle="1" w:styleId="103">
    <w:name w:val="heading 1 Char"/>
    <w:basedOn w:val="33"/>
    <w:link w:val="101"/>
    <w:qFormat/>
    <w:uiPriority w:val="0"/>
    <w:rPr>
      <w:rFonts w:ascii="黑体" w:hAnsi="黑体" w:eastAsia="黑体" w:cs="Times New Roman"/>
      <w:bCs/>
      <w:kern w:val="44"/>
      <w:sz w:val="32"/>
      <w:szCs w:val="32"/>
    </w:rPr>
  </w:style>
  <w:style w:type="paragraph" w:customStyle="1" w:styleId="104">
    <w:name w:val="Heading 31"/>
    <w:basedOn w:val="6"/>
    <w:link w:val="107"/>
    <w:qFormat/>
    <w:uiPriority w:val="0"/>
    <w:pPr>
      <w:keepNext w:val="0"/>
      <w:keepLines w:val="0"/>
      <w:snapToGrid/>
      <w:spacing w:before="60" w:beforeLines="0" w:after="60" w:afterLines="0" w:line="578" w:lineRule="exact"/>
      <w:contextualSpacing/>
    </w:pPr>
    <w:rPr>
      <w:rFonts w:ascii="仿宋_GB2312" w:hAnsi="楷体" w:eastAsia="仿宋_GB2312"/>
      <w:bCs w:val="0"/>
      <w:sz w:val="32"/>
    </w:rPr>
  </w:style>
  <w:style w:type="character" w:customStyle="1" w:styleId="105">
    <w:name w:val="heading 2 Char"/>
    <w:basedOn w:val="42"/>
    <w:link w:val="102"/>
    <w:qFormat/>
    <w:uiPriority w:val="0"/>
    <w:rPr>
      <w:rFonts w:ascii="楷体_GB2312" w:hAnsi="楷体_GB2312" w:eastAsia="仿宋_GB2312" w:cs="Times New Roman"/>
      <w:b/>
      <w:kern w:val="2"/>
      <w:sz w:val="32"/>
      <w:szCs w:val="24"/>
    </w:rPr>
  </w:style>
  <w:style w:type="paragraph" w:customStyle="1" w:styleId="106">
    <w:name w:val="Heading 41"/>
    <w:basedOn w:val="82"/>
    <w:link w:val="109"/>
    <w:qFormat/>
    <w:uiPriority w:val="0"/>
    <w:pPr>
      <w:spacing w:before="60" w:beforeLines="0" w:after="60" w:afterLines="0" w:line="578" w:lineRule="exact"/>
      <w:outlineLvl w:val="3"/>
    </w:pPr>
    <w:rPr>
      <w:rFonts w:ascii="仿宋_GB2312" w:eastAsia="仿宋_GB2312"/>
      <w:szCs w:val="32"/>
    </w:rPr>
  </w:style>
  <w:style w:type="character" w:customStyle="1" w:styleId="107">
    <w:name w:val="heading 3 Char"/>
    <w:basedOn w:val="43"/>
    <w:link w:val="104"/>
    <w:qFormat/>
    <w:uiPriority w:val="0"/>
    <w:rPr>
      <w:rFonts w:ascii="仿宋_GB2312" w:hAnsi="楷体" w:eastAsia="仿宋_GB2312" w:cs="Times New Roman"/>
      <w:bCs w:val="0"/>
      <w:kern w:val="2"/>
      <w:sz w:val="32"/>
      <w:szCs w:val="32"/>
    </w:rPr>
  </w:style>
  <w:style w:type="paragraph" w:customStyle="1" w:styleId="108">
    <w:name w:val="Heading 51"/>
    <w:basedOn w:val="106"/>
    <w:link w:val="111"/>
    <w:qFormat/>
    <w:uiPriority w:val="0"/>
    <w:pPr>
      <w:outlineLvl w:val="4"/>
    </w:pPr>
  </w:style>
  <w:style w:type="character" w:customStyle="1" w:styleId="109">
    <w:name w:val="heading 4 Char"/>
    <w:basedOn w:val="84"/>
    <w:link w:val="106"/>
    <w:qFormat/>
    <w:uiPriority w:val="0"/>
    <w:rPr>
      <w:rFonts w:ascii="仿宋_GB2312" w:hAnsi="楷体" w:eastAsia="仿宋_GB2312" w:cs="Times New Roman"/>
      <w:kern w:val="2"/>
      <w:sz w:val="32"/>
      <w:szCs w:val="32"/>
    </w:rPr>
  </w:style>
  <w:style w:type="paragraph" w:customStyle="1" w:styleId="110">
    <w:name w:val="invisible"/>
    <w:basedOn w:val="106"/>
    <w:link w:val="112"/>
    <w:qFormat/>
    <w:uiPriority w:val="0"/>
    <w:pPr>
      <w:spacing w:before="0" w:after="0" w:line="20" w:lineRule="exact"/>
    </w:pPr>
    <w:rPr>
      <w:color w:val="FFFFFF" w:themeColor="background1"/>
      <w14:textFill>
        <w14:solidFill>
          <w14:schemeClr w14:val="bg1"/>
        </w14:solidFill>
      </w14:textFill>
    </w:rPr>
  </w:style>
  <w:style w:type="character" w:customStyle="1" w:styleId="111">
    <w:name w:val="heading 5 Char"/>
    <w:basedOn w:val="109"/>
    <w:link w:val="108"/>
    <w:qFormat/>
    <w:uiPriority w:val="0"/>
    <w:rPr>
      <w:rFonts w:ascii="仿宋_GB2312" w:hAnsi="楷体" w:eastAsia="仿宋_GB2312" w:cs="Times New Roman"/>
      <w:kern w:val="2"/>
      <w:sz w:val="32"/>
      <w:szCs w:val="32"/>
    </w:rPr>
  </w:style>
  <w:style w:type="character" w:customStyle="1" w:styleId="112">
    <w:name w:val="invisible Char"/>
    <w:basedOn w:val="109"/>
    <w:link w:val="110"/>
    <w:qFormat/>
    <w:uiPriority w:val="0"/>
    <w:rPr>
      <w:rFonts w:ascii="仿宋_GB2312" w:hAnsi="楷体" w:eastAsia="仿宋_GB2312" w:cs="Times New Roman"/>
      <w:color w:val="FFFFFF" w:themeColor="background1"/>
      <w:kern w:val="2"/>
      <w:sz w:val="32"/>
      <w:szCs w:val="32"/>
      <w14:textFill>
        <w14:solidFill>
          <w14:schemeClr w14:val="bg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C215-201A-4B33-8495-9C6C9BA5F96C}">
  <ds:schemaRefs/>
</ds:datastoreItem>
</file>

<file path=docProps/app.xml><?xml version="1.0" encoding="utf-8"?>
<Properties xmlns="http://schemas.openxmlformats.org/officeDocument/2006/extended-properties" xmlns:vt="http://schemas.openxmlformats.org/officeDocument/2006/docPropsVTypes">
  <Template>Normal.dotm</Template>
  <Company>PricewaterhouseCoopers</Company>
  <Pages>80</Pages>
  <Words>19247</Words>
  <Characters>19633</Characters>
  <Lines>892</Lines>
  <Paragraphs>452</Paragraphs>
  <TotalTime>5</TotalTime>
  <ScaleCrop>false</ScaleCrop>
  <LinksUpToDate>false</LinksUpToDate>
  <CharactersWithSpaces>38428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2021-06-22T09:54:00Z</dcterms:created>
  <dc:creator>Michelle YA Li (CN - TAX)</dc:creator>
  <cp:lastModifiedBy></cp:lastModifiedBy>
  <cp:lastPrinted>2022-02-11T02:55:00Z</cp:lastPrinted>
  <dcterms:modified xsi:type="dcterms:W3CDTF">2022-02-25T08:27:01Z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AA60F0C6E055456BA203439731344F60</vt:lpwstr>
  </property>
</Properties>
</file>