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Autospacing="0" w:afterAutospacing="0" w:line="1000" w:lineRule="exact"/>
        <w:jc w:val="distribute"/>
        <w:rPr>
          <w:rFonts w:hint="eastAsia" w:ascii="宋体" w:hAnsi="宋体" w:eastAsia="宋体"/>
          <w:b/>
          <w:color w:val="FF0000"/>
          <w:sz w:val="72"/>
          <w:szCs w:val="72"/>
        </w:rPr>
      </w:pPr>
      <w:r>
        <w:rPr>
          <w:rFonts w:hint="eastAsia" w:ascii="宋体" w:hAnsi="宋体" w:eastAsia="宋体"/>
          <w:b/>
          <w:color w:val="FF0000"/>
          <w:sz w:val="72"/>
          <w:szCs w:val="72"/>
        </w:rPr>
        <w:t>海南省</w:t>
      </w:r>
      <w:r>
        <w:rPr>
          <w:rFonts w:hint="eastAsia" w:ascii="宋体" w:hAnsi="宋体" w:eastAsia="宋体"/>
          <w:b/>
          <w:color w:val="FF0000"/>
          <w:sz w:val="72"/>
          <w:szCs w:val="72"/>
          <w:lang w:eastAsia="zh-CN"/>
        </w:rPr>
        <w:t>福利彩票发行中心</w:t>
      </w:r>
    </w:p>
    <w:p>
      <w:pPr>
        <w:pBdr>
          <w:bottom w:val="thinThickMediumGap" w:color="FF0000" w:sz="24" w:space="1"/>
        </w:pBdr>
        <w:spacing w:before="317" w:beforeAutospacing="0" w:after="317" w:afterAutospacing="0" w:line="20" w:lineRule="exact"/>
        <w:jc w:val="center"/>
        <w:rPr>
          <w:rFonts w:hint="eastAsia" w:ascii="宋体" w:hAnsi="宋体" w:eastAsia="宋体"/>
          <w:b/>
          <w:color w:val="FF0000"/>
          <w:sz w:val="18"/>
          <w:szCs w:val="18"/>
        </w:rPr>
      </w:pPr>
    </w:p>
    <w:p>
      <w:pPr>
        <w:keepNext w:val="0"/>
        <w:keepLines w:val="0"/>
        <w:pageBreakBefore w:val="0"/>
        <w:widowControl w:val="0"/>
        <w:kinsoku/>
        <w:wordWrap/>
        <w:overflowPunct/>
        <w:topLinePunct w:val="0"/>
        <w:autoSpaceDE/>
        <w:autoSpaceDN/>
        <w:bidi w:val="0"/>
        <w:snapToGrid/>
        <w:spacing w:line="590" w:lineRule="exact"/>
        <w:jc w:val="center"/>
        <w:textAlignment w:val="auto"/>
        <w:rPr>
          <w:rStyle w:val="8"/>
          <w:rFonts w:hint="eastAsia" w:ascii="方正小标宋简体" w:hAnsi="方正小标宋简体" w:eastAsia="方正小标宋简体" w:cs="方正小标宋简体"/>
          <w:b w:val="0"/>
          <w:sz w:val="44"/>
          <w:szCs w:val="44"/>
          <w:highlight w:val="none"/>
        </w:rPr>
      </w:pPr>
      <w:r>
        <w:rPr>
          <w:rStyle w:val="8"/>
          <w:rFonts w:hint="eastAsia" w:ascii="方正小标宋简体" w:hAnsi="方正小标宋简体" w:eastAsia="方正小标宋简体" w:cs="方正小标宋简体"/>
          <w:b w:val="0"/>
          <w:sz w:val="44"/>
          <w:szCs w:val="44"/>
          <w:highlight w:val="none"/>
        </w:rPr>
        <w:t>202</w:t>
      </w:r>
      <w:r>
        <w:rPr>
          <w:rStyle w:val="8"/>
          <w:rFonts w:ascii="方正小标宋简体" w:hAnsi="方正小标宋简体" w:eastAsia="方正小标宋简体" w:cs="方正小标宋简体"/>
          <w:b w:val="0"/>
          <w:sz w:val="44"/>
          <w:szCs w:val="44"/>
          <w:highlight w:val="none"/>
        </w:rPr>
        <w:t>3</w:t>
      </w:r>
      <w:r>
        <w:rPr>
          <w:rStyle w:val="8"/>
          <w:rFonts w:hint="eastAsia" w:ascii="方正小标宋简体" w:hAnsi="方正小标宋简体" w:eastAsia="方正小标宋简体" w:cs="方正小标宋简体"/>
          <w:b w:val="0"/>
          <w:sz w:val="44"/>
          <w:szCs w:val="44"/>
          <w:highlight w:val="none"/>
        </w:rPr>
        <w:t>年度信息系统运行维护支出</w:t>
      </w:r>
    </w:p>
    <w:p>
      <w:pPr>
        <w:keepNext w:val="0"/>
        <w:keepLines w:val="0"/>
        <w:pageBreakBefore w:val="0"/>
        <w:widowControl w:val="0"/>
        <w:kinsoku/>
        <w:wordWrap/>
        <w:overflowPunct/>
        <w:topLinePunct w:val="0"/>
        <w:autoSpaceDE/>
        <w:autoSpaceDN/>
        <w:bidi w:val="0"/>
        <w:snapToGrid/>
        <w:spacing w:line="590" w:lineRule="exact"/>
        <w:jc w:val="center"/>
        <w:textAlignment w:val="auto"/>
        <w:rPr>
          <w:rFonts w:ascii="方正小标宋简体" w:hAnsi="方正小标宋简体" w:eastAsia="方正小标宋简体" w:cs="方正小标宋简体"/>
          <w:sz w:val="44"/>
          <w:szCs w:val="44"/>
          <w:highlight w:val="none"/>
        </w:rPr>
      </w:pPr>
      <w:r>
        <w:rPr>
          <w:rStyle w:val="8"/>
          <w:rFonts w:hint="eastAsia" w:ascii="方正小标宋简体" w:hAnsi="方正小标宋简体" w:eastAsia="方正小标宋简体" w:cs="方正小标宋简体"/>
          <w:b w:val="0"/>
          <w:sz w:val="44"/>
          <w:szCs w:val="44"/>
          <w:highlight w:val="none"/>
        </w:rPr>
        <w:t>项目绩效自评报告</w:t>
      </w:r>
      <w:bookmarkStart w:id="0" w:name="_GoBack"/>
      <w:bookmarkEnd w:id="0"/>
    </w:p>
    <w:p>
      <w:pPr>
        <w:keepNext w:val="0"/>
        <w:keepLines w:val="0"/>
        <w:pageBreakBefore w:val="0"/>
        <w:widowControl w:val="0"/>
        <w:kinsoku/>
        <w:wordWrap/>
        <w:overflowPunct/>
        <w:topLinePunct w:val="0"/>
        <w:autoSpaceDE/>
        <w:autoSpaceDN/>
        <w:bidi w:val="0"/>
        <w:adjustRightInd w:val="0"/>
        <w:snapToGrid/>
        <w:spacing w:line="590" w:lineRule="exact"/>
        <w:ind w:firstLine="632" w:firstLineChars="200"/>
        <w:textAlignment w:val="auto"/>
        <w:rPr>
          <w:rFonts w:hAnsi="仿宋_GB2312"/>
          <w:b/>
          <w:bCs/>
          <w:color w:val="000000"/>
          <w:highlight w:val="none"/>
        </w:rPr>
      </w:pPr>
    </w:p>
    <w:p>
      <w:pPr>
        <w:keepNext w:val="0"/>
        <w:keepLines w:val="0"/>
        <w:pageBreakBefore w:val="0"/>
        <w:widowControl w:val="0"/>
        <w:kinsoku/>
        <w:wordWrap/>
        <w:overflowPunct/>
        <w:topLinePunct w:val="0"/>
        <w:autoSpaceDE/>
        <w:autoSpaceDN/>
        <w:bidi w:val="0"/>
        <w:adjustRightInd w:val="0"/>
        <w:snapToGrid/>
        <w:spacing w:line="590" w:lineRule="exact"/>
        <w:ind w:firstLine="632" w:firstLineChars="200"/>
        <w:textAlignment w:val="auto"/>
        <w:outlineLvl w:val="0"/>
        <w:rPr>
          <w:rFonts w:ascii="黑体" w:hAnsi="黑体" w:eastAsia="黑体" w:cs="黑体"/>
          <w:bCs/>
          <w:color w:val="000000"/>
          <w:highlight w:val="none"/>
        </w:rPr>
      </w:pPr>
      <w:r>
        <w:rPr>
          <w:rFonts w:hint="eastAsia" w:ascii="黑体" w:hAnsi="黑体" w:eastAsia="黑体" w:cs="黑体"/>
          <w:bCs/>
          <w:color w:val="000000"/>
          <w:highlight w:val="none"/>
        </w:rPr>
        <w:t>一、项目概况</w:t>
      </w:r>
    </w:p>
    <w:p>
      <w:pPr>
        <w:keepNext w:val="0"/>
        <w:keepLines w:val="0"/>
        <w:pageBreakBefore w:val="0"/>
        <w:widowControl w:val="0"/>
        <w:kinsoku/>
        <w:wordWrap/>
        <w:overflowPunct/>
        <w:topLinePunct w:val="0"/>
        <w:autoSpaceDE/>
        <w:autoSpaceDN/>
        <w:bidi w:val="0"/>
        <w:adjustRightInd w:val="0"/>
        <w:snapToGrid/>
        <w:spacing w:line="590" w:lineRule="exact"/>
        <w:ind w:firstLine="632" w:firstLineChars="200"/>
        <w:textAlignment w:val="auto"/>
        <w:outlineLvl w:val="0"/>
        <w:rPr>
          <w:rFonts w:hAnsi="仿宋_GB2312"/>
          <w:b/>
          <w:bCs/>
          <w:color w:val="000000"/>
          <w:highlight w:val="none"/>
        </w:rPr>
      </w:pPr>
      <w:r>
        <w:rPr>
          <w:rFonts w:hint="eastAsia" w:hAnsi="仿宋_GB2312"/>
          <w:b/>
          <w:bCs/>
          <w:color w:val="000000"/>
          <w:highlight w:val="none"/>
        </w:rPr>
        <w:t>（一）项目基本情况、实施主体、项目资金、用途和主要内容</w:t>
      </w:r>
    </w:p>
    <w:p>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590" w:lineRule="exact"/>
        <w:ind w:firstLine="632" w:firstLineChars="200"/>
        <w:jc w:val="both"/>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1.项目基本情况。预算单位：省福利彩票发行中心本级的项目，信息系统运行维护项目属于其他运转类，主管部门为省福利彩票发行中心，项目负责人为：詹声冠，联系电话：66893009。实施主体为海南省福利彩票发行中心，项目预算资金合计148.30万元，其中2023当年预算资金148.30万元，历年结转结余资金0万元。全部为财政性</w:t>
      </w:r>
      <w:r>
        <w:rPr>
          <w:rFonts w:hint="eastAsia" w:ascii="仿宋_GB2312" w:hAnsi="仿宋_GB2312" w:eastAsia="仿宋_GB2312" w:cs="仿宋_GB2312"/>
          <w:color w:val="000000"/>
          <w:sz w:val="32"/>
          <w:szCs w:val="32"/>
          <w:highlight w:val="none"/>
          <w:lang w:eastAsia="zh-CN"/>
        </w:rPr>
        <w:t>资金</w:t>
      </w:r>
      <w:r>
        <w:rPr>
          <w:rFonts w:hint="eastAsia" w:ascii="仿宋_GB2312" w:hAnsi="仿宋_GB2312" w:eastAsia="仿宋_GB2312" w:cs="仿宋_GB2312"/>
          <w:color w:val="000000"/>
          <w:sz w:val="32"/>
          <w:szCs w:val="32"/>
          <w:highlight w:val="none"/>
        </w:rPr>
        <w:t>预算。</w:t>
      </w:r>
    </w:p>
    <w:p>
      <w:pPr>
        <w:keepNext w:val="0"/>
        <w:keepLines w:val="0"/>
        <w:pageBreakBefore w:val="0"/>
        <w:widowControl w:val="0"/>
        <w:kinsoku/>
        <w:wordWrap/>
        <w:overflowPunct/>
        <w:topLinePunct w:val="0"/>
        <w:autoSpaceDE/>
        <w:autoSpaceDN/>
        <w:bidi w:val="0"/>
        <w:adjustRightInd w:val="0"/>
        <w:snapToGrid/>
        <w:spacing w:line="590" w:lineRule="exact"/>
        <w:ind w:firstLine="632" w:firstLineChars="200"/>
        <w:textAlignment w:val="auto"/>
        <w:outlineLvl w:val="0"/>
        <w:rPr>
          <w:rFonts w:hint="eastAsia" w:ascii="仿宋_GB2312" w:hAnsi="仿宋_GB2312" w:eastAsia="仿宋_GB2312" w:cs="仿宋_GB2312"/>
          <w:color w:val="000000"/>
          <w:highlight w:val="none"/>
        </w:rPr>
      </w:pP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项目用途。</w:t>
      </w:r>
      <w:r>
        <w:rPr>
          <w:rFonts w:hint="eastAsia" w:ascii="仿宋_GB2312" w:hAnsi="仿宋_GB2312" w:eastAsia="仿宋_GB2312" w:cs="仿宋_GB2312"/>
          <w:color w:val="000000"/>
          <w:kern w:val="0"/>
          <w:highlight w:val="none"/>
        </w:rPr>
        <w:t>2023年信息系统运行维护项目由海南福彩自筹资金建设，主要用于海南福彩信息化基础设施和彩票销售系统的运行维护、通信线路租赁等方面。</w:t>
      </w:r>
    </w:p>
    <w:p>
      <w:pPr>
        <w:keepNext w:val="0"/>
        <w:keepLines w:val="0"/>
        <w:pageBreakBefore w:val="0"/>
        <w:widowControl w:val="0"/>
        <w:kinsoku/>
        <w:wordWrap/>
        <w:overflowPunct/>
        <w:topLinePunct w:val="0"/>
        <w:autoSpaceDE/>
        <w:autoSpaceDN/>
        <w:bidi w:val="0"/>
        <w:adjustRightInd w:val="0"/>
        <w:snapToGrid/>
        <w:spacing w:line="590" w:lineRule="exact"/>
        <w:ind w:firstLine="632" w:firstLineChars="200"/>
        <w:textAlignment w:val="auto"/>
        <w:outlineLvl w:val="0"/>
        <w:rPr>
          <w:rFonts w:hint="eastAsia" w:ascii="仿宋_GB2312" w:hAnsi="仿宋_GB2312" w:eastAsia="仿宋_GB2312" w:cs="仿宋_GB2312"/>
          <w:color w:val="000000"/>
          <w:kern w:val="0"/>
          <w:highlight w:val="none"/>
        </w:rPr>
      </w:pPr>
      <w:r>
        <w:rPr>
          <w:rFonts w:hint="eastAsia" w:ascii="仿宋_GB2312" w:hAnsi="仿宋_GB2312" w:eastAsia="仿宋_GB2312" w:cs="仿宋_GB2312"/>
          <w:highlight w:val="none"/>
        </w:rPr>
        <w:t>3.项目主要内容。</w:t>
      </w:r>
      <w:r>
        <w:rPr>
          <w:rFonts w:hint="eastAsia" w:ascii="仿宋_GB2312" w:hAnsi="仿宋_GB2312" w:eastAsia="仿宋_GB2312" w:cs="仿宋_GB2312"/>
          <w:color w:val="000000"/>
          <w:kern w:val="0"/>
          <w:highlight w:val="none"/>
        </w:rPr>
        <w:t>主要内容包括：通信线路租赁；机房基础设施运行维护；护网行动；电脑票投注机及即开票系统运行维护项目。</w:t>
      </w:r>
    </w:p>
    <w:p>
      <w:pPr>
        <w:keepNext w:val="0"/>
        <w:keepLines w:val="0"/>
        <w:pageBreakBefore w:val="0"/>
        <w:widowControl w:val="0"/>
        <w:kinsoku/>
        <w:wordWrap/>
        <w:overflowPunct/>
        <w:topLinePunct w:val="0"/>
        <w:autoSpaceDE/>
        <w:autoSpaceDN/>
        <w:bidi w:val="0"/>
        <w:adjustRightInd w:val="0"/>
        <w:snapToGrid/>
        <w:spacing w:line="590" w:lineRule="exact"/>
        <w:ind w:firstLine="632" w:firstLineChars="200"/>
        <w:textAlignment w:val="auto"/>
        <w:outlineLvl w:val="0"/>
        <w:rPr>
          <w:rFonts w:hAnsi="仿宋_GB2312"/>
          <w:b/>
          <w:bCs/>
          <w:color w:val="000000"/>
          <w:highlight w:val="none"/>
        </w:rPr>
      </w:pPr>
      <w:r>
        <w:rPr>
          <w:rFonts w:hint="eastAsia" w:hAnsi="仿宋_GB2312"/>
          <w:b/>
          <w:bCs/>
          <w:color w:val="000000"/>
          <w:highlight w:val="none"/>
        </w:rPr>
        <w:t>（二）项目年度预算绩效目标和绩效指标设定情况</w:t>
      </w:r>
    </w:p>
    <w:p>
      <w:pPr>
        <w:keepNext w:val="0"/>
        <w:keepLines w:val="0"/>
        <w:pageBreakBefore w:val="0"/>
        <w:widowControl w:val="0"/>
        <w:kinsoku/>
        <w:wordWrap/>
        <w:overflowPunct/>
        <w:topLinePunct w:val="0"/>
        <w:autoSpaceDE/>
        <w:autoSpaceDN/>
        <w:bidi w:val="0"/>
        <w:adjustRightInd w:val="0"/>
        <w:snapToGrid/>
        <w:spacing w:line="590" w:lineRule="exact"/>
        <w:ind w:firstLine="632" w:firstLineChars="200"/>
        <w:textAlignment w:val="auto"/>
        <w:outlineLvl w:val="0"/>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rPr>
        <w:t>1.预期总目标</w:t>
      </w:r>
    </w:p>
    <w:p>
      <w:pPr>
        <w:keepNext w:val="0"/>
        <w:keepLines w:val="0"/>
        <w:pageBreakBefore w:val="0"/>
        <w:widowControl w:val="0"/>
        <w:kinsoku/>
        <w:wordWrap/>
        <w:overflowPunct/>
        <w:topLinePunct w:val="0"/>
        <w:autoSpaceDE/>
        <w:autoSpaceDN/>
        <w:bidi w:val="0"/>
        <w:adjustRightInd w:val="0"/>
        <w:snapToGrid/>
        <w:spacing w:line="590" w:lineRule="exact"/>
        <w:ind w:firstLine="632" w:firstLineChars="200"/>
        <w:textAlignment w:val="auto"/>
        <w:outlineLvl w:val="0"/>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lang w:val="en-US" w:eastAsia="zh-CN"/>
        </w:rPr>
        <w:t>(1)</w:t>
      </w:r>
      <w:r>
        <w:rPr>
          <w:rFonts w:hint="eastAsia" w:ascii="仿宋_GB2312" w:hAnsi="仿宋_GB2312" w:eastAsia="仿宋_GB2312" w:cs="仿宋_GB2312"/>
          <w:color w:val="000000"/>
          <w:kern w:val="0"/>
          <w:highlight w:val="none"/>
        </w:rPr>
        <w:t>保障全省全年福彩销售系统安全运行，健康发展。</w:t>
      </w:r>
    </w:p>
    <w:p>
      <w:pPr>
        <w:keepNext w:val="0"/>
        <w:keepLines w:val="0"/>
        <w:pageBreakBefore w:val="0"/>
        <w:widowControl w:val="0"/>
        <w:kinsoku/>
        <w:wordWrap/>
        <w:overflowPunct/>
        <w:topLinePunct w:val="0"/>
        <w:autoSpaceDE/>
        <w:autoSpaceDN/>
        <w:bidi w:val="0"/>
        <w:adjustRightInd w:val="0"/>
        <w:snapToGrid/>
        <w:spacing w:line="590" w:lineRule="exact"/>
        <w:ind w:firstLine="632" w:firstLineChars="200"/>
        <w:textAlignment w:val="auto"/>
        <w:outlineLvl w:val="0"/>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lang w:val="en-US" w:eastAsia="zh-CN"/>
        </w:rPr>
        <w:t>(2)</w:t>
      </w:r>
      <w:r>
        <w:rPr>
          <w:rFonts w:hint="eastAsia" w:ascii="仿宋_GB2312" w:hAnsi="仿宋_GB2312" w:eastAsia="仿宋_GB2312" w:cs="仿宋_GB2312"/>
          <w:color w:val="000000"/>
          <w:kern w:val="0"/>
          <w:highlight w:val="none"/>
        </w:rPr>
        <w:t>降低系统及设备故障率，提升基础设施故障修复时间，提高全省福彩销售系统管理水平。</w:t>
      </w:r>
    </w:p>
    <w:p>
      <w:pPr>
        <w:keepNext w:val="0"/>
        <w:keepLines w:val="0"/>
        <w:pageBreakBefore w:val="0"/>
        <w:widowControl w:val="0"/>
        <w:kinsoku/>
        <w:wordWrap/>
        <w:overflowPunct/>
        <w:topLinePunct w:val="0"/>
        <w:autoSpaceDE/>
        <w:autoSpaceDN/>
        <w:bidi w:val="0"/>
        <w:adjustRightInd w:val="0"/>
        <w:snapToGrid/>
        <w:spacing w:line="590" w:lineRule="exact"/>
        <w:ind w:firstLine="632" w:firstLineChars="200"/>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2.绩效指标设定情况</w:t>
      </w:r>
    </w:p>
    <w:p>
      <w:pPr>
        <w:keepNext w:val="0"/>
        <w:keepLines w:val="0"/>
        <w:pageBreakBefore w:val="0"/>
        <w:widowControl w:val="0"/>
        <w:kinsoku/>
        <w:wordWrap/>
        <w:overflowPunct/>
        <w:topLinePunct w:val="0"/>
        <w:autoSpaceDE/>
        <w:autoSpaceDN/>
        <w:bidi w:val="0"/>
        <w:adjustRightInd w:val="0"/>
        <w:snapToGrid/>
        <w:spacing w:line="590" w:lineRule="exact"/>
        <w:ind w:firstLine="632" w:firstLineChars="200"/>
        <w:textAlignment w:val="auto"/>
        <w:rPr>
          <w:rFonts w:hint="eastAsia" w:ascii="仿宋_GB2312" w:hAnsi="仿宋_GB2312" w:eastAsia="仿宋_GB2312" w:cs="仿宋_GB2312"/>
          <w:color w:val="000000"/>
          <w:highlight w:val="none"/>
        </w:rPr>
      </w:pPr>
      <w:r>
        <w:rPr>
          <w:rFonts w:hint="eastAsia" w:ascii="仿宋_GB2312" w:hAnsi="仿宋_GB2312" w:eastAsia="仿宋_GB2312" w:cs="仿宋_GB2312"/>
          <w:color w:val="000000"/>
          <w:highlight w:val="none"/>
        </w:rPr>
        <w:t>2023年度信息系统运行维护项目绩效指标共设置8个，分别为指标1：机房设备修复平均时间不高于6小时；指标2：投注机故障修复平均时间不高于6小时；指标3：系统故障率小于或等于8%；指标4：销售系统故障或机房设备故障造成销售中断1小时以上次数不大于5次；指标5：系统验收合格率不低于95%；指标6：销售数据稳定性</w:t>
      </w:r>
      <w:r>
        <w:rPr>
          <w:rFonts w:hint="eastAsia" w:ascii="仿宋_GB2312" w:hAnsi="仿宋_GB2312" w:eastAsia="仿宋_GB2312" w:cs="仿宋_GB2312"/>
          <w:color w:val="000000"/>
          <w:highlight w:val="none"/>
          <w:lang w:eastAsia="zh-CN"/>
        </w:rPr>
        <w:t>大于或等于</w:t>
      </w:r>
      <w:r>
        <w:rPr>
          <w:rFonts w:hint="eastAsia" w:ascii="仿宋_GB2312" w:hAnsi="仿宋_GB2312" w:eastAsia="仿宋_GB2312" w:cs="仿宋_GB2312"/>
          <w:color w:val="000000"/>
          <w:highlight w:val="none"/>
          <w:lang w:val="en-US" w:eastAsia="zh-CN"/>
        </w:rPr>
        <w:t>95%</w:t>
      </w:r>
      <w:r>
        <w:rPr>
          <w:rFonts w:hint="eastAsia" w:ascii="仿宋_GB2312" w:hAnsi="仿宋_GB2312" w:eastAsia="仿宋_GB2312" w:cs="仿宋_GB2312"/>
          <w:color w:val="000000"/>
          <w:highlight w:val="none"/>
        </w:rPr>
        <w:t>（优95%-100%，良85%-94%，中75%-84%，差74%以下）；</w:t>
      </w:r>
      <w:r>
        <w:rPr>
          <w:rFonts w:hint="eastAsia" w:ascii="仿宋_GB2312" w:hAnsi="仿宋_GB2312" w:eastAsia="仿宋_GB2312" w:cs="仿宋_GB2312"/>
          <w:highlight w:val="none"/>
        </w:rPr>
        <w:t>指标7：保障彩票正常销售不小于1年；指</w:t>
      </w:r>
      <w:r>
        <w:rPr>
          <w:rFonts w:hint="eastAsia" w:ascii="仿宋_GB2312" w:hAnsi="仿宋_GB2312" w:eastAsia="仿宋_GB2312" w:cs="仿宋_GB2312"/>
          <w:color w:val="000000"/>
          <w:highlight w:val="none"/>
        </w:rPr>
        <w:t>标8：使用人员满意度大于或等于80%。</w:t>
      </w:r>
    </w:p>
    <w:p>
      <w:pPr>
        <w:keepNext w:val="0"/>
        <w:keepLines w:val="0"/>
        <w:pageBreakBefore w:val="0"/>
        <w:widowControl w:val="0"/>
        <w:kinsoku/>
        <w:wordWrap/>
        <w:overflowPunct/>
        <w:topLinePunct w:val="0"/>
        <w:autoSpaceDE/>
        <w:autoSpaceDN/>
        <w:bidi w:val="0"/>
        <w:adjustRightInd w:val="0"/>
        <w:snapToGrid/>
        <w:spacing w:line="590" w:lineRule="exact"/>
        <w:ind w:firstLine="632" w:firstLineChars="200"/>
        <w:textAlignment w:val="auto"/>
        <w:rPr>
          <w:rFonts w:ascii="黑体" w:hAnsi="黑体" w:eastAsia="黑体" w:cs="黑体"/>
          <w:bCs/>
          <w:highlight w:val="none"/>
        </w:rPr>
      </w:pPr>
      <w:r>
        <w:rPr>
          <w:rFonts w:hint="eastAsia" w:ascii="黑体" w:hAnsi="黑体" w:eastAsia="黑体" w:cs="黑体"/>
          <w:bCs/>
          <w:color w:val="000000"/>
          <w:highlight w:val="none"/>
        </w:rPr>
        <w:t>二、项目</w:t>
      </w:r>
      <w:r>
        <w:rPr>
          <w:rFonts w:hint="eastAsia" w:ascii="黑体" w:hAnsi="黑体" w:eastAsia="黑体" w:cs="黑体"/>
          <w:bCs/>
          <w:color w:val="000000"/>
          <w:highlight w:val="none"/>
          <w:lang w:eastAsia="zh-CN"/>
        </w:rPr>
        <w:t>决策及</w:t>
      </w:r>
      <w:r>
        <w:rPr>
          <w:rFonts w:hint="eastAsia" w:ascii="黑体" w:hAnsi="黑体" w:eastAsia="黑体" w:cs="黑体"/>
          <w:bCs/>
          <w:color w:val="000000"/>
          <w:highlight w:val="none"/>
        </w:rPr>
        <w:t>资金使用管理情况</w:t>
      </w:r>
    </w:p>
    <w:p>
      <w:pPr>
        <w:keepNext w:val="0"/>
        <w:keepLines w:val="0"/>
        <w:pageBreakBefore w:val="0"/>
        <w:widowControl w:val="0"/>
        <w:kinsoku/>
        <w:wordWrap/>
        <w:overflowPunct/>
        <w:topLinePunct w:val="0"/>
        <w:autoSpaceDE/>
        <w:autoSpaceDN/>
        <w:bidi w:val="0"/>
        <w:adjustRightInd w:val="0"/>
        <w:snapToGrid/>
        <w:spacing w:line="590" w:lineRule="exact"/>
        <w:ind w:firstLine="632" w:firstLineChars="200"/>
        <w:textAlignment w:val="auto"/>
        <w:rPr>
          <w:rFonts w:hint="eastAsia" w:ascii="楷体_GB2312" w:hAnsi="楷体_GB2312" w:eastAsia="楷体_GB2312" w:cs="楷体_GB2312"/>
          <w:b/>
          <w:bCs/>
          <w:highlight w:val="none"/>
        </w:rPr>
      </w:pPr>
      <w:r>
        <w:rPr>
          <w:rFonts w:hint="eastAsia" w:ascii="楷体_GB2312" w:hAnsi="楷体_GB2312" w:eastAsia="楷体_GB2312" w:cs="楷体_GB2312"/>
          <w:b/>
          <w:bCs/>
          <w:highlight w:val="none"/>
        </w:rPr>
        <w:t>（一）项目决策、资金安排落实及总投入情况分析</w:t>
      </w:r>
    </w:p>
    <w:p>
      <w:pPr>
        <w:keepNext w:val="0"/>
        <w:keepLines w:val="0"/>
        <w:pageBreakBefore w:val="0"/>
        <w:widowControl w:val="0"/>
        <w:kinsoku/>
        <w:wordWrap/>
        <w:overflowPunct/>
        <w:topLinePunct w:val="0"/>
        <w:autoSpaceDE/>
        <w:autoSpaceDN/>
        <w:bidi w:val="0"/>
        <w:adjustRightInd w:val="0"/>
        <w:snapToGrid/>
        <w:spacing w:line="590" w:lineRule="exact"/>
        <w:ind w:firstLine="632" w:firstLineChars="200"/>
        <w:textAlignment w:val="auto"/>
        <w:rPr>
          <w:rFonts w:hint="eastAsia" w:hAnsi="仿宋_GB2312"/>
          <w:highlight w:val="none"/>
        </w:rPr>
      </w:pPr>
      <w:r>
        <w:rPr>
          <w:rFonts w:hint="eastAsia" w:ascii="仿宋_GB2312" w:hAnsi="仿宋_GB2312" w:cs="仿宋_GB2312"/>
          <w:kern w:val="0"/>
          <w:highlight w:val="none"/>
        </w:rPr>
        <w:t>202</w:t>
      </w:r>
      <w:r>
        <w:rPr>
          <w:rFonts w:ascii="仿宋_GB2312" w:hAnsi="仿宋_GB2312" w:cs="仿宋_GB2312"/>
          <w:kern w:val="0"/>
          <w:highlight w:val="none"/>
        </w:rPr>
        <w:t>3</w:t>
      </w:r>
      <w:r>
        <w:rPr>
          <w:rFonts w:hint="eastAsia" w:ascii="仿宋_GB2312" w:hAnsi="仿宋_GB2312" w:cs="仿宋_GB2312"/>
          <w:kern w:val="0"/>
          <w:highlight w:val="none"/>
        </w:rPr>
        <w:t>年，根据海南省财政预算安排，海南省财政厅</w:t>
      </w:r>
      <w:r>
        <w:rPr>
          <w:rFonts w:hint="eastAsia" w:ascii="仿宋_GB2312" w:hAnsi="仿宋_GB2312" w:cs="仿宋_GB2312"/>
          <w:highlight w:val="none"/>
        </w:rPr>
        <w:t>下达我单位</w:t>
      </w:r>
      <w:r>
        <w:rPr>
          <w:rFonts w:hint="eastAsia" w:ascii="仿宋_GB2312" w:hAnsi="仿宋_GB2312" w:cs="仿宋_GB2312"/>
          <w:kern w:val="2"/>
          <w:sz w:val="32"/>
          <w:szCs w:val="32"/>
          <w:highlight w:val="none"/>
        </w:rPr>
        <w:t>信息系统运行维护项目</w:t>
      </w:r>
      <w:r>
        <w:rPr>
          <w:rFonts w:hint="eastAsia" w:ascii="仿宋_GB2312" w:hAnsi="仿宋_GB2312" w:cs="仿宋_GB2312"/>
          <w:bCs/>
          <w:highlight w:val="none"/>
        </w:rPr>
        <w:t>预算资金</w:t>
      </w:r>
      <w:r>
        <w:rPr>
          <w:rFonts w:hint="eastAsia" w:ascii="仿宋_GB2312" w:hAnsi="仿宋_GB2312" w:cs="仿宋_GB2312"/>
          <w:kern w:val="0"/>
          <w:highlight w:val="none"/>
        </w:rPr>
        <w:t>为148.30万元，项目资金下达率100%，资金拨付及时到位，保障了各项工作的顺利开展。项目总投入148.30万元，年初预算一经批复下达，即做好预算分解，落实到各项目分管负责人组织实施。</w:t>
      </w:r>
      <w:r>
        <w:rPr>
          <w:rFonts w:hint="eastAsia" w:ascii="仿宋_GB2312" w:hAnsi="仿宋_GB2312" w:cs="仿宋_GB2312"/>
          <w:highlight w:val="none"/>
        </w:rPr>
        <w:t>由中心领导牵头，各部门配合落实，提前做好各项目前期的采购计划、方案、上会相关流程、签订合同及款项支付等准备工作，推动项目工作周期与预算执行周期协同，切实推进项目建设和资金支付，更好的提升财政资金使用效率。</w:t>
      </w:r>
    </w:p>
    <w:p>
      <w:pPr>
        <w:keepNext w:val="0"/>
        <w:keepLines w:val="0"/>
        <w:pageBreakBefore w:val="0"/>
        <w:widowControl w:val="0"/>
        <w:kinsoku/>
        <w:wordWrap/>
        <w:overflowPunct/>
        <w:topLinePunct w:val="0"/>
        <w:autoSpaceDE/>
        <w:autoSpaceDN/>
        <w:bidi w:val="0"/>
        <w:adjustRightInd w:val="0"/>
        <w:snapToGrid/>
        <w:spacing w:line="590" w:lineRule="exact"/>
        <w:ind w:firstLine="632" w:firstLineChars="200"/>
        <w:textAlignment w:val="auto"/>
        <w:rPr>
          <w:rFonts w:ascii="楷体_GB2312" w:hAnsi="楷体_GB2312" w:eastAsia="楷体_GB2312" w:cs="楷体_GB2312"/>
          <w:b/>
          <w:bCs/>
          <w:highlight w:val="none"/>
        </w:rPr>
      </w:pPr>
      <w:r>
        <w:rPr>
          <w:rFonts w:hint="eastAsia" w:ascii="楷体_GB2312" w:hAnsi="楷体_GB2312" w:eastAsia="楷体_GB2312" w:cs="楷体_GB2312"/>
          <w:b/>
          <w:bCs/>
          <w:highlight w:val="none"/>
        </w:rPr>
        <w:t>（二）项目资金实际使用情况分析</w:t>
      </w:r>
    </w:p>
    <w:p>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590" w:lineRule="exact"/>
        <w:ind w:firstLine="632" w:firstLineChars="200"/>
        <w:jc w:val="both"/>
        <w:textAlignment w:val="auto"/>
        <w:rPr>
          <w:rFonts w:ascii="仿宋_GB2312" w:hAnsi="仿宋_GB2312" w:cs="仿宋_GB2312"/>
          <w:kern w:val="2"/>
          <w:sz w:val="32"/>
          <w:szCs w:val="32"/>
          <w:highlight w:val="none"/>
        </w:rPr>
      </w:pPr>
      <w:r>
        <w:rPr>
          <w:rFonts w:hint="eastAsia" w:ascii="仿宋_GB2312" w:hAnsi="仿宋_GB2312" w:cs="仿宋_GB2312"/>
          <w:kern w:val="2"/>
          <w:sz w:val="32"/>
          <w:szCs w:val="32"/>
          <w:highlight w:val="none"/>
        </w:rPr>
        <w:t>202</w:t>
      </w:r>
      <w:r>
        <w:rPr>
          <w:rFonts w:ascii="仿宋_GB2312" w:hAnsi="仿宋_GB2312" w:cs="仿宋_GB2312"/>
          <w:kern w:val="2"/>
          <w:sz w:val="32"/>
          <w:szCs w:val="32"/>
          <w:highlight w:val="none"/>
        </w:rPr>
        <w:t>3</w:t>
      </w:r>
      <w:r>
        <w:rPr>
          <w:rFonts w:hint="eastAsia" w:ascii="仿宋_GB2312" w:hAnsi="仿宋_GB2312" w:cs="仿宋_GB2312"/>
          <w:kern w:val="2"/>
          <w:sz w:val="32"/>
          <w:szCs w:val="32"/>
          <w:highlight w:val="none"/>
        </w:rPr>
        <w:t>年信息系统运行维护项目资金下达</w:t>
      </w:r>
      <w:r>
        <w:rPr>
          <w:rFonts w:ascii="仿宋_GB2312" w:hAnsi="仿宋_GB2312" w:cs="仿宋_GB2312"/>
          <w:kern w:val="2"/>
          <w:sz w:val="32"/>
          <w:szCs w:val="32"/>
          <w:highlight w:val="none"/>
        </w:rPr>
        <w:t>148.30</w:t>
      </w:r>
      <w:r>
        <w:rPr>
          <w:rFonts w:hint="eastAsia" w:ascii="仿宋_GB2312" w:hAnsi="仿宋_GB2312" w:cs="仿宋_GB2312"/>
          <w:kern w:val="2"/>
          <w:sz w:val="32"/>
          <w:szCs w:val="32"/>
          <w:highlight w:val="none"/>
        </w:rPr>
        <w:t>万元，上年结余结转0万元，合计可使用资金</w:t>
      </w:r>
      <w:r>
        <w:rPr>
          <w:rFonts w:ascii="仿宋_GB2312" w:hAnsi="仿宋_GB2312" w:cs="仿宋_GB2312"/>
          <w:kern w:val="2"/>
          <w:sz w:val="32"/>
          <w:szCs w:val="32"/>
          <w:highlight w:val="none"/>
        </w:rPr>
        <w:t>148.30</w:t>
      </w:r>
      <w:r>
        <w:rPr>
          <w:rFonts w:hint="eastAsia" w:ascii="仿宋_GB2312" w:hAnsi="仿宋_GB2312" w:cs="仿宋_GB2312"/>
          <w:kern w:val="2"/>
          <w:sz w:val="32"/>
          <w:szCs w:val="32"/>
          <w:highlight w:val="none"/>
        </w:rPr>
        <w:t>万元（全部是财政性资金）。全年总支出</w:t>
      </w:r>
      <w:r>
        <w:rPr>
          <w:rFonts w:ascii="仿宋_GB2312" w:hAnsi="仿宋_GB2312" w:cs="仿宋_GB2312"/>
          <w:kern w:val="2"/>
          <w:sz w:val="32"/>
          <w:szCs w:val="32"/>
          <w:highlight w:val="none"/>
        </w:rPr>
        <w:t>148.30</w:t>
      </w:r>
      <w:r>
        <w:rPr>
          <w:rFonts w:hint="eastAsia" w:ascii="仿宋_GB2312" w:hAnsi="仿宋_GB2312" w:cs="仿宋_GB2312"/>
          <w:kern w:val="2"/>
          <w:sz w:val="32"/>
          <w:szCs w:val="32"/>
          <w:highlight w:val="none"/>
        </w:rPr>
        <w:t>万元，项目整体执行率100.00%元。</w:t>
      </w:r>
    </w:p>
    <w:p>
      <w:pPr>
        <w:keepNext w:val="0"/>
        <w:keepLines w:val="0"/>
        <w:pageBreakBefore w:val="0"/>
        <w:widowControl w:val="0"/>
        <w:kinsoku/>
        <w:wordWrap/>
        <w:overflowPunct/>
        <w:topLinePunct w:val="0"/>
        <w:autoSpaceDE/>
        <w:autoSpaceDN/>
        <w:bidi w:val="0"/>
        <w:adjustRightInd w:val="0"/>
        <w:snapToGrid/>
        <w:spacing w:line="590" w:lineRule="exact"/>
        <w:ind w:firstLine="632" w:firstLineChars="200"/>
        <w:textAlignment w:val="auto"/>
        <w:rPr>
          <w:rFonts w:hAnsi="仿宋_GB2312"/>
          <w:highlight w:val="none"/>
        </w:rPr>
      </w:pPr>
      <w:r>
        <w:rPr>
          <w:rFonts w:hint="eastAsia" w:hAnsi="仿宋_GB2312"/>
          <w:highlight w:val="none"/>
        </w:rPr>
        <w:t>在项目资金使用上，均严格按照国库集中支付管理制度规定和财政下达资金的使用范围进行。</w:t>
      </w:r>
    </w:p>
    <w:p>
      <w:pPr>
        <w:keepNext w:val="0"/>
        <w:keepLines w:val="0"/>
        <w:pageBreakBefore w:val="0"/>
        <w:widowControl w:val="0"/>
        <w:kinsoku/>
        <w:wordWrap/>
        <w:overflowPunct/>
        <w:topLinePunct w:val="0"/>
        <w:autoSpaceDE/>
        <w:autoSpaceDN/>
        <w:bidi w:val="0"/>
        <w:adjustRightInd w:val="0"/>
        <w:snapToGrid/>
        <w:spacing w:line="590" w:lineRule="exact"/>
        <w:ind w:firstLine="632" w:firstLineChars="200"/>
        <w:textAlignment w:val="auto"/>
        <w:rPr>
          <w:rFonts w:hAnsi="仿宋_GB2312"/>
          <w:highlight w:val="none"/>
        </w:rPr>
      </w:pPr>
      <w:r>
        <w:rPr>
          <w:rFonts w:hint="eastAsia" w:hAnsi="仿宋_GB2312"/>
          <w:highlight w:val="none"/>
        </w:rPr>
        <w:t xml:space="preserve">项目资金使用情况如下： </w:t>
      </w:r>
    </w:p>
    <w:tbl>
      <w:tblPr>
        <w:tblStyle w:val="5"/>
        <w:tblW w:w="9378" w:type="dxa"/>
        <w:tblInd w:w="-108" w:type="dxa"/>
        <w:tblLayout w:type="fixed"/>
        <w:tblCellMar>
          <w:top w:w="0" w:type="dxa"/>
          <w:left w:w="108" w:type="dxa"/>
          <w:bottom w:w="0" w:type="dxa"/>
          <w:right w:w="108" w:type="dxa"/>
        </w:tblCellMar>
      </w:tblPr>
      <w:tblGrid>
        <w:gridCol w:w="752"/>
        <w:gridCol w:w="2821"/>
        <w:gridCol w:w="1482"/>
        <w:gridCol w:w="1478"/>
        <w:gridCol w:w="1407"/>
        <w:gridCol w:w="1438"/>
      </w:tblGrid>
      <w:tr>
        <w:tblPrEx>
          <w:tblCellMar>
            <w:top w:w="0" w:type="dxa"/>
            <w:left w:w="108" w:type="dxa"/>
            <w:bottom w:w="0" w:type="dxa"/>
            <w:right w:w="108" w:type="dxa"/>
          </w:tblCellMar>
        </w:tblPrEx>
        <w:trPr>
          <w:trHeight w:val="809" w:hRule="atLeast"/>
          <w:tblHeader/>
        </w:trPr>
        <w:tc>
          <w:tcPr>
            <w:tcW w:w="752" w:type="dxa"/>
            <w:vMerge w:val="restart"/>
            <w:tcBorders>
              <w:top w:val="single" w:color="auto" w:sz="4" w:space="0"/>
              <w:left w:val="single" w:color="auto" w:sz="4" w:space="0"/>
              <w:bottom w:val="single" w:color="000000" w:sz="4" w:space="0"/>
              <w:right w:val="single" w:color="auto" w:sz="4" w:space="0"/>
            </w:tcBorders>
            <w:vAlign w:val="center"/>
          </w:tcPr>
          <w:p>
            <w:pPr>
              <w:widowControl/>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序号</w:t>
            </w:r>
          </w:p>
        </w:tc>
        <w:tc>
          <w:tcPr>
            <w:tcW w:w="2821" w:type="dxa"/>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科目名称</w:t>
            </w:r>
          </w:p>
        </w:tc>
        <w:tc>
          <w:tcPr>
            <w:tcW w:w="1482" w:type="dxa"/>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2023年预算资金（万元）</w:t>
            </w:r>
          </w:p>
        </w:tc>
        <w:tc>
          <w:tcPr>
            <w:tcW w:w="4323" w:type="dxa"/>
            <w:gridSpan w:val="3"/>
            <w:tcBorders>
              <w:top w:val="single" w:color="auto" w:sz="4" w:space="0"/>
              <w:left w:val="nil"/>
              <w:bottom w:val="single" w:color="auto" w:sz="4" w:space="0"/>
              <w:right w:val="single" w:color="auto" w:sz="4" w:space="0"/>
            </w:tcBorders>
            <w:vAlign w:val="center"/>
          </w:tcPr>
          <w:p>
            <w:pPr>
              <w:widowControl/>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已执行情况</w:t>
            </w:r>
          </w:p>
        </w:tc>
      </w:tr>
      <w:tr>
        <w:tblPrEx>
          <w:tblCellMar>
            <w:top w:w="0" w:type="dxa"/>
            <w:left w:w="108" w:type="dxa"/>
            <w:bottom w:w="0" w:type="dxa"/>
            <w:right w:w="108" w:type="dxa"/>
          </w:tblCellMar>
        </w:tblPrEx>
        <w:trPr>
          <w:trHeight w:val="1040" w:hRule="atLeast"/>
          <w:tblHeader/>
        </w:trPr>
        <w:tc>
          <w:tcPr>
            <w:tcW w:w="752" w:type="dxa"/>
            <w:vMerge w:val="continue"/>
            <w:tcBorders>
              <w:top w:val="single" w:color="auto" w:sz="4" w:space="0"/>
              <w:left w:val="single" w:color="auto" w:sz="4" w:space="0"/>
              <w:bottom w:val="single" w:color="000000" w:sz="4" w:space="0"/>
              <w:right w:val="single" w:color="auto" w:sz="4" w:space="0"/>
            </w:tcBorders>
            <w:vAlign w:val="center"/>
          </w:tcPr>
          <w:p>
            <w:pPr>
              <w:widowControl/>
              <w:adjustRightInd w:val="0"/>
              <w:spacing w:line="560" w:lineRule="exact"/>
              <w:rPr>
                <w:rFonts w:hint="eastAsia" w:ascii="宋体" w:hAnsi="宋体" w:eastAsia="宋体" w:cs="宋体"/>
                <w:kern w:val="0"/>
                <w:sz w:val="28"/>
                <w:szCs w:val="28"/>
                <w:highlight w:val="none"/>
              </w:rPr>
            </w:pPr>
          </w:p>
        </w:tc>
        <w:tc>
          <w:tcPr>
            <w:tcW w:w="2821"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pacing w:line="560" w:lineRule="exact"/>
              <w:rPr>
                <w:rFonts w:hint="eastAsia" w:ascii="宋体" w:hAnsi="宋体" w:eastAsia="宋体" w:cs="宋体"/>
                <w:kern w:val="0"/>
                <w:sz w:val="28"/>
                <w:szCs w:val="28"/>
                <w:highlight w:val="none"/>
              </w:rPr>
            </w:pPr>
          </w:p>
        </w:tc>
        <w:tc>
          <w:tcPr>
            <w:tcW w:w="1482"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pacing w:line="560" w:lineRule="exact"/>
              <w:jc w:val="center"/>
              <w:rPr>
                <w:rFonts w:hint="eastAsia" w:ascii="宋体" w:hAnsi="宋体" w:eastAsia="宋体" w:cs="宋体"/>
                <w:kern w:val="0"/>
                <w:sz w:val="28"/>
                <w:szCs w:val="28"/>
                <w:highlight w:val="none"/>
              </w:rPr>
            </w:pPr>
          </w:p>
        </w:tc>
        <w:tc>
          <w:tcPr>
            <w:tcW w:w="1478" w:type="dxa"/>
            <w:tcBorders>
              <w:top w:val="nil"/>
              <w:left w:val="nil"/>
              <w:bottom w:val="single" w:color="auto" w:sz="4" w:space="0"/>
              <w:right w:val="single" w:color="auto" w:sz="4" w:space="0"/>
            </w:tcBorders>
            <w:vAlign w:val="center"/>
          </w:tcPr>
          <w:p>
            <w:pPr>
              <w:widowControl/>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完成金额</w:t>
            </w:r>
          </w:p>
          <w:p>
            <w:pPr>
              <w:widowControl/>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（万元）</w:t>
            </w:r>
          </w:p>
        </w:tc>
        <w:tc>
          <w:tcPr>
            <w:tcW w:w="1407" w:type="dxa"/>
            <w:tcBorders>
              <w:top w:val="nil"/>
              <w:left w:val="nil"/>
              <w:bottom w:val="single" w:color="auto" w:sz="4" w:space="0"/>
              <w:right w:val="single" w:color="auto" w:sz="4" w:space="0"/>
            </w:tcBorders>
            <w:vAlign w:val="center"/>
          </w:tcPr>
          <w:p>
            <w:pPr>
              <w:widowControl/>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结余（万元）</w:t>
            </w:r>
          </w:p>
        </w:tc>
        <w:tc>
          <w:tcPr>
            <w:tcW w:w="1438" w:type="dxa"/>
            <w:tcBorders>
              <w:top w:val="nil"/>
              <w:left w:val="nil"/>
              <w:bottom w:val="single" w:color="auto" w:sz="4" w:space="0"/>
              <w:right w:val="single" w:color="auto" w:sz="4" w:space="0"/>
            </w:tcBorders>
            <w:vAlign w:val="center"/>
          </w:tcPr>
          <w:p>
            <w:pPr>
              <w:widowControl/>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完成比例</w:t>
            </w:r>
          </w:p>
        </w:tc>
      </w:tr>
      <w:tr>
        <w:tblPrEx>
          <w:tblCellMar>
            <w:top w:w="0" w:type="dxa"/>
            <w:left w:w="108" w:type="dxa"/>
            <w:bottom w:w="0" w:type="dxa"/>
            <w:right w:w="108" w:type="dxa"/>
          </w:tblCellMar>
        </w:tblPrEx>
        <w:trPr>
          <w:trHeight w:val="809" w:hRule="atLeast"/>
        </w:trPr>
        <w:tc>
          <w:tcPr>
            <w:tcW w:w="7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w:t>
            </w:r>
          </w:p>
        </w:tc>
        <w:tc>
          <w:tcPr>
            <w:tcW w:w="2821" w:type="dxa"/>
            <w:tcBorders>
              <w:top w:val="nil"/>
              <w:left w:val="nil"/>
              <w:bottom w:val="single" w:color="auto" w:sz="4" w:space="0"/>
              <w:right w:val="single" w:color="auto" w:sz="4" w:space="0"/>
            </w:tcBorders>
            <w:shd w:val="clear" w:color="auto" w:fill="auto"/>
            <w:vAlign w:val="center"/>
          </w:tcPr>
          <w:p>
            <w:pPr>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通信线路租赁费</w:t>
            </w:r>
          </w:p>
        </w:tc>
        <w:tc>
          <w:tcPr>
            <w:tcW w:w="1482" w:type="dxa"/>
            <w:tcBorders>
              <w:top w:val="nil"/>
              <w:left w:val="single" w:color="auto" w:sz="4" w:space="0"/>
              <w:bottom w:val="single" w:color="auto" w:sz="4" w:space="0"/>
              <w:right w:val="single" w:color="auto" w:sz="4" w:space="0"/>
            </w:tcBorders>
            <w:shd w:val="clear" w:color="auto" w:fill="auto"/>
            <w:vAlign w:val="center"/>
          </w:tcPr>
          <w:p>
            <w:pPr>
              <w:widowControl/>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55.55</w:t>
            </w:r>
          </w:p>
        </w:tc>
        <w:tc>
          <w:tcPr>
            <w:tcW w:w="1478" w:type="dxa"/>
            <w:tcBorders>
              <w:top w:val="nil"/>
              <w:left w:val="nil"/>
              <w:bottom w:val="single" w:color="auto" w:sz="4" w:space="0"/>
              <w:right w:val="single" w:color="auto" w:sz="4" w:space="0"/>
            </w:tcBorders>
            <w:shd w:val="clear" w:color="auto" w:fill="auto"/>
            <w:vAlign w:val="center"/>
          </w:tcPr>
          <w:p>
            <w:pPr>
              <w:widowControl/>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55.55</w:t>
            </w:r>
          </w:p>
        </w:tc>
        <w:tc>
          <w:tcPr>
            <w:tcW w:w="1407" w:type="dxa"/>
            <w:tcBorders>
              <w:top w:val="nil"/>
              <w:left w:val="nil"/>
              <w:bottom w:val="single" w:color="auto" w:sz="4" w:space="0"/>
              <w:right w:val="single" w:color="auto" w:sz="4" w:space="0"/>
            </w:tcBorders>
            <w:shd w:val="clear" w:color="auto" w:fill="auto"/>
            <w:vAlign w:val="center"/>
          </w:tcPr>
          <w:p>
            <w:pPr>
              <w:widowControl/>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0</w:t>
            </w:r>
          </w:p>
        </w:tc>
        <w:tc>
          <w:tcPr>
            <w:tcW w:w="1438" w:type="dxa"/>
            <w:tcBorders>
              <w:top w:val="nil"/>
              <w:left w:val="nil"/>
              <w:bottom w:val="single" w:color="auto" w:sz="4" w:space="0"/>
              <w:right w:val="single" w:color="auto" w:sz="4" w:space="0"/>
            </w:tcBorders>
            <w:shd w:val="clear" w:color="auto" w:fill="auto"/>
            <w:vAlign w:val="center"/>
          </w:tcPr>
          <w:p>
            <w:pPr>
              <w:widowControl/>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100%</w:t>
            </w:r>
          </w:p>
        </w:tc>
      </w:tr>
      <w:tr>
        <w:tblPrEx>
          <w:tblCellMar>
            <w:top w:w="0" w:type="dxa"/>
            <w:left w:w="108" w:type="dxa"/>
            <w:bottom w:w="0" w:type="dxa"/>
            <w:right w:w="108" w:type="dxa"/>
          </w:tblCellMar>
        </w:tblPrEx>
        <w:trPr>
          <w:trHeight w:val="809" w:hRule="atLeast"/>
        </w:trPr>
        <w:tc>
          <w:tcPr>
            <w:tcW w:w="752" w:type="dxa"/>
            <w:tcBorders>
              <w:top w:val="nil"/>
              <w:left w:val="single" w:color="auto" w:sz="4" w:space="0"/>
              <w:bottom w:val="single" w:color="auto" w:sz="4" w:space="0"/>
              <w:right w:val="single" w:color="auto" w:sz="4" w:space="0"/>
            </w:tcBorders>
            <w:shd w:val="clear" w:color="auto" w:fill="auto"/>
            <w:vAlign w:val="center"/>
          </w:tcPr>
          <w:p>
            <w:pPr>
              <w:widowControl/>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2</w:t>
            </w:r>
          </w:p>
        </w:tc>
        <w:tc>
          <w:tcPr>
            <w:tcW w:w="2821" w:type="dxa"/>
            <w:tcBorders>
              <w:top w:val="nil"/>
              <w:left w:val="nil"/>
              <w:bottom w:val="single" w:color="auto" w:sz="4" w:space="0"/>
              <w:right w:val="single" w:color="auto" w:sz="4" w:space="0"/>
            </w:tcBorders>
            <w:shd w:val="clear" w:color="auto" w:fill="auto"/>
            <w:vAlign w:val="center"/>
          </w:tcPr>
          <w:p>
            <w:pPr>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机房基础设施维护</w:t>
            </w:r>
          </w:p>
        </w:tc>
        <w:tc>
          <w:tcPr>
            <w:tcW w:w="1482" w:type="dxa"/>
            <w:tcBorders>
              <w:top w:val="nil"/>
              <w:left w:val="single" w:color="auto" w:sz="4" w:space="0"/>
              <w:bottom w:val="single" w:color="auto" w:sz="4" w:space="0"/>
              <w:right w:val="single" w:color="auto" w:sz="4" w:space="0"/>
            </w:tcBorders>
            <w:shd w:val="clear" w:color="auto" w:fill="auto"/>
            <w:vAlign w:val="center"/>
          </w:tcPr>
          <w:p>
            <w:pPr>
              <w:widowControl/>
              <w:adjustRightInd w:val="0"/>
              <w:spacing w:line="560" w:lineRule="exact"/>
              <w:jc w:val="center"/>
              <w:rPr>
                <w:rFonts w:hint="eastAsia" w:ascii="宋体" w:hAnsi="宋体" w:eastAsia="宋体" w:cs="宋体"/>
                <w:kern w:val="0"/>
                <w:sz w:val="28"/>
                <w:szCs w:val="28"/>
                <w:highlight w:val="none"/>
                <w:lang w:eastAsia="zh-CN"/>
              </w:rPr>
            </w:pPr>
            <w:r>
              <w:rPr>
                <w:rFonts w:hint="eastAsia" w:ascii="宋体" w:hAnsi="宋体" w:eastAsia="宋体" w:cs="宋体"/>
                <w:kern w:val="0"/>
                <w:sz w:val="28"/>
                <w:szCs w:val="28"/>
                <w:highlight w:val="none"/>
              </w:rPr>
              <w:t>3.0</w:t>
            </w:r>
            <w:r>
              <w:rPr>
                <w:rFonts w:hint="eastAsia" w:ascii="宋体" w:hAnsi="宋体" w:eastAsia="宋体" w:cs="宋体"/>
                <w:kern w:val="0"/>
                <w:sz w:val="28"/>
                <w:szCs w:val="28"/>
                <w:highlight w:val="none"/>
                <w:lang w:val="en-US" w:eastAsia="zh-CN"/>
              </w:rPr>
              <w:t>7</w:t>
            </w:r>
          </w:p>
        </w:tc>
        <w:tc>
          <w:tcPr>
            <w:tcW w:w="1478" w:type="dxa"/>
            <w:tcBorders>
              <w:top w:val="nil"/>
              <w:left w:val="nil"/>
              <w:bottom w:val="single" w:color="auto" w:sz="4" w:space="0"/>
              <w:right w:val="single" w:color="auto" w:sz="4" w:space="0"/>
            </w:tcBorders>
            <w:shd w:val="clear" w:color="auto" w:fill="auto"/>
            <w:vAlign w:val="center"/>
          </w:tcPr>
          <w:p>
            <w:pPr>
              <w:widowControl/>
              <w:adjustRightInd w:val="0"/>
              <w:spacing w:line="560" w:lineRule="exact"/>
              <w:jc w:val="center"/>
              <w:rPr>
                <w:rFonts w:hint="eastAsia" w:ascii="宋体" w:hAnsi="宋体" w:eastAsia="宋体" w:cs="宋体"/>
                <w:kern w:val="0"/>
                <w:sz w:val="28"/>
                <w:szCs w:val="28"/>
                <w:highlight w:val="none"/>
                <w:lang w:eastAsia="zh-CN"/>
              </w:rPr>
            </w:pPr>
            <w:r>
              <w:rPr>
                <w:rFonts w:hint="eastAsia" w:ascii="宋体" w:hAnsi="宋体" w:eastAsia="宋体" w:cs="宋体"/>
                <w:kern w:val="0"/>
                <w:sz w:val="28"/>
                <w:szCs w:val="28"/>
                <w:highlight w:val="none"/>
              </w:rPr>
              <w:t>3.0</w:t>
            </w:r>
            <w:r>
              <w:rPr>
                <w:rFonts w:hint="eastAsia" w:ascii="宋体" w:hAnsi="宋体" w:eastAsia="宋体" w:cs="宋体"/>
                <w:kern w:val="0"/>
                <w:sz w:val="28"/>
                <w:szCs w:val="28"/>
                <w:highlight w:val="none"/>
                <w:lang w:val="en-US" w:eastAsia="zh-CN"/>
              </w:rPr>
              <w:t>7</w:t>
            </w:r>
          </w:p>
        </w:tc>
        <w:tc>
          <w:tcPr>
            <w:tcW w:w="1407" w:type="dxa"/>
            <w:tcBorders>
              <w:top w:val="nil"/>
              <w:left w:val="nil"/>
              <w:bottom w:val="single" w:color="auto" w:sz="4" w:space="0"/>
              <w:right w:val="single" w:color="auto" w:sz="4" w:space="0"/>
            </w:tcBorders>
            <w:shd w:val="clear" w:color="auto" w:fill="auto"/>
            <w:vAlign w:val="center"/>
          </w:tcPr>
          <w:p>
            <w:pPr>
              <w:widowControl/>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0</w:t>
            </w:r>
          </w:p>
        </w:tc>
        <w:tc>
          <w:tcPr>
            <w:tcW w:w="1438" w:type="dxa"/>
            <w:tcBorders>
              <w:top w:val="nil"/>
              <w:left w:val="nil"/>
              <w:bottom w:val="single" w:color="auto" w:sz="4" w:space="0"/>
              <w:right w:val="single" w:color="auto" w:sz="4" w:space="0"/>
            </w:tcBorders>
            <w:shd w:val="clear" w:color="auto" w:fill="auto"/>
            <w:vAlign w:val="center"/>
          </w:tcPr>
          <w:p>
            <w:pPr>
              <w:widowControl/>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100%</w:t>
            </w:r>
          </w:p>
        </w:tc>
      </w:tr>
      <w:tr>
        <w:tblPrEx>
          <w:tblCellMar>
            <w:top w:w="0" w:type="dxa"/>
            <w:left w:w="108" w:type="dxa"/>
            <w:bottom w:w="0" w:type="dxa"/>
            <w:right w:w="108" w:type="dxa"/>
          </w:tblCellMar>
        </w:tblPrEx>
        <w:trPr>
          <w:trHeight w:val="802" w:hRule="atLeast"/>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3</w:t>
            </w:r>
          </w:p>
        </w:tc>
        <w:tc>
          <w:tcPr>
            <w:tcW w:w="2821" w:type="dxa"/>
            <w:tcBorders>
              <w:top w:val="single" w:color="auto" w:sz="4" w:space="0"/>
              <w:left w:val="nil"/>
              <w:bottom w:val="single" w:color="auto" w:sz="4" w:space="0"/>
              <w:right w:val="single" w:color="auto" w:sz="4" w:space="0"/>
            </w:tcBorders>
            <w:shd w:val="clear" w:color="auto" w:fill="auto"/>
            <w:vAlign w:val="center"/>
          </w:tcPr>
          <w:p>
            <w:pPr>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护网行动</w:t>
            </w:r>
          </w:p>
        </w:tc>
        <w:tc>
          <w:tcPr>
            <w:tcW w:w="148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4.60</w:t>
            </w:r>
          </w:p>
        </w:tc>
        <w:tc>
          <w:tcPr>
            <w:tcW w:w="1478" w:type="dxa"/>
            <w:tcBorders>
              <w:top w:val="single" w:color="auto" w:sz="4" w:space="0"/>
              <w:left w:val="nil"/>
              <w:bottom w:val="single" w:color="auto" w:sz="4" w:space="0"/>
              <w:right w:val="single" w:color="auto" w:sz="4" w:space="0"/>
            </w:tcBorders>
            <w:shd w:val="clear" w:color="auto" w:fill="auto"/>
            <w:vAlign w:val="center"/>
          </w:tcPr>
          <w:p>
            <w:pPr>
              <w:widowControl/>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4.60</w:t>
            </w:r>
          </w:p>
        </w:tc>
        <w:tc>
          <w:tcPr>
            <w:tcW w:w="1407" w:type="dxa"/>
            <w:tcBorders>
              <w:top w:val="single" w:color="auto" w:sz="4" w:space="0"/>
              <w:left w:val="nil"/>
              <w:bottom w:val="single" w:color="auto" w:sz="4" w:space="0"/>
              <w:right w:val="single" w:color="auto" w:sz="4" w:space="0"/>
            </w:tcBorders>
            <w:shd w:val="clear" w:color="auto" w:fill="auto"/>
            <w:vAlign w:val="center"/>
          </w:tcPr>
          <w:p>
            <w:pPr>
              <w:widowControl/>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0</w:t>
            </w:r>
          </w:p>
        </w:tc>
        <w:tc>
          <w:tcPr>
            <w:tcW w:w="1438" w:type="dxa"/>
            <w:tcBorders>
              <w:top w:val="single" w:color="auto" w:sz="4" w:space="0"/>
              <w:left w:val="nil"/>
              <w:bottom w:val="single" w:color="auto" w:sz="4" w:space="0"/>
              <w:right w:val="single" w:color="auto" w:sz="4" w:space="0"/>
            </w:tcBorders>
            <w:shd w:val="clear" w:color="auto" w:fill="auto"/>
            <w:vAlign w:val="center"/>
          </w:tcPr>
          <w:p>
            <w:pPr>
              <w:widowControl/>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100%</w:t>
            </w:r>
          </w:p>
        </w:tc>
      </w:tr>
      <w:tr>
        <w:tblPrEx>
          <w:tblCellMar>
            <w:top w:w="0" w:type="dxa"/>
            <w:left w:w="108" w:type="dxa"/>
            <w:bottom w:w="0" w:type="dxa"/>
            <w:right w:w="108" w:type="dxa"/>
          </w:tblCellMar>
        </w:tblPrEx>
        <w:trPr>
          <w:trHeight w:val="1040" w:hRule="atLeast"/>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4</w:t>
            </w:r>
          </w:p>
        </w:tc>
        <w:tc>
          <w:tcPr>
            <w:tcW w:w="2821" w:type="dxa"/>
            <w:tcBorders>
              <w:top w:val="single" w:color="auto" w:sz="4" w:space="0"/>
              <w:left w:val="nil"/>
              <w:bottom w:val="single" w:color="auto" w:sz="4" w:space="0"/>
              <w:right w:val="single" w:color="auto" w:sz="4" w:space="0"/>
            </w:tcBorders>
            <w:shd w:val="clear" w:color="auto" w:fill="auto"/>
            <w:vAlign w:val="center"/>
          </w:tcPr>
          <w:p>
            <w:pPr>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电脑票投注设备及即开票系统运维</w:t>
            </w:r>
          </w:p>
        </w:tc>
        <w:tc>
          <w:tcPr>
            <w:tcW w:w="148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85.08</w:t>
            </w:r>
          </w:p>
        </w:tc>
        <w:tc>
          <w:tcPr>
            <w:tcW w:w="1478" w:type="dxa"/>
            <w:tcBorders>
              <w:top w:val="single" w:color="auto" w:sz="4" w:space="0"/>
              <w:left w:val="nil"/>
              <w:bottom w:val="single" w:color="auto" w:sz="4" w:space="0"/>
              <w:right w:val="single" w:color="auto" w:sz="4" w:space="0"/>
            </w:tcBorders>
            <w:shd w:val="clear" w:color="auto" w:fill="auto"/>
            <w:vAlign w:val="center"/>
          </w:tcPr>
          <w:p>
            <w:pPr>
              <w:widowControl/>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85.08</w:t>
            </w:r>
          </w:p>
        </w:tc>
        <w:tc>
          <w:tcPr>
            <w:tcW w:w="1407" w:type="dxa"/>
            <w:tcBorders>
              <w:top w:val="single" w:color="auto" w:sz="4" w:space="0"/>
              <w:left w:val="nil"/>
              <w:bottom w:val="single" w:color="auto" w:sz="4" w:space="0"/>
              <w:right w:val="single" w:color="auto" w:sz="4" w:space="0"/>
            </w:tcBorders>
            <w:shd w:val="clear" w:color="auto" w:fill="auto"/>
            <w:vAlign w:val="center"/>
          </w:tcPr>
          <w:p>
            <w:pPr>
              <w:widowControl/>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0</w:t>
            </w:r>
          </w:p>
        </w:tc>
        <w:tc>
          <w:tcPr>
            <w:tcW w:w="1438" w:type="dxa"/>
            <w:tcBorders>
              <w:top w:val="single" w:color="auto" w:sz="4" w:space="0"/>
              <w:left w:val="nil"/>
              <w:bottom w:val="single" w:color="auto" w:sz="4" w:space="0"/>
              <w:right w:val="single" w:color="auto" w:sz="4" w:space="0"/>
            </w:tcBorders>
            <w:shd w:val="clear" w:color="auto" w:fill="auto"/>
            <w:vAlign w:val="center"/>
          </w:tcPr>
          <w:p>
            <w:pPr>
              <w:widowControl/>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100%</w:t>
            </w:r>
          </w:p>
        </w:tc>
      </w:tr>
      <w:tr>
        <w:tblPrEx>
          <w:tblCellMar>
            <w:top w:w="0" w:type="dxa"/>
            <w:left w:w="108" w:type="dxa"/>
            <w:bottom w:w="0" w:type="dxa"/>
            <w:right w:w="108" w:type="dxa"/>
          </w:tblCellMar>
        </w:tblPrEx>
        <w:trPr>
          <w:trHeight w:val="848" w:hRule="atLeast"/>
        </w:trPr>
        <w:tc>
          <w:tcPr>
            <w:tcW w:w="3573" w:type="dxa"/>
            <w:gridSpan w:val="2"/>
            <w:tcBorders>
              <w:top w:val="single" w:color="auto" w:sz="6" w:space="0"/>
              <w:left w:val="single" w:color="auto" w:sz="4" w:space="0"/>
              <w:bottom w:val="single" w:color="auto" w:sz="4" w:space="0"/>
              <w:right w:val="single" w:color="auto" w:sz="6" w:space="0"/>
            </w:tcBorders>
            <w:vAlign w:val="center"/>
          </w:tcPr>
          <w:p>
            <w:pPr>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合计</w:t>
            </w:r>
          </w:p>
        </w:tc>
        <w:tc>
          <w:tcPr>
            <w:tcW w:w="1482" w:type="dxa"/>
            <w:tcBorders>
              <w:top w:val="single" w:color="auto" w:sz="6" w:space="0"/>
              <w:left w:val="single" w:color="auto" w:sz="6" w:space="0"/>
              <w:bottom w:val="single" w:color="auto" w:sz="4" w:space="0"/>
              <w:right w:val="single" w:color="auto" w:sz="6" w:space="0"/>
            </w:tcBorders>
            <w:vAlign w:val="center"/>
          </w:tcPr>
          <w:p>
            <w:pPr>
              <w:widowControl/>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148.30</w:t>
            </w:r>
          </w:p>
        </w:tc>
        <w:tc>
          <w:tcPr>
            <w:tcW w:w="1478" w:type="dxa"/>
            <w:tcBorders>
              <w:top w:val="single" w:color="auto" w:sz="6" w:space="0"/>
              <w:left w:val="single" w:color="auto" w:sz="6" w:space="0"/>
              <w:bottom w:val="single" w:color="auto" w:sz="4" w:space="0"/>
              <w:right w:val="single" w:color="auto" w:sz="4" w:space="0"/>
            </w:tcBorders>
            <w:vAlign w:val="center"/>
          </w:tcPr>
          <w:p>
            <w:pPr>
              <w:widowControl/>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148.30</w:t>
            </w:r>
          </w:p>
        </w:tc>
        <w:tc>
          <w:tcPr>
            <w:tcW w:w="1407" w:type="dxa"/>
            <w:tcBorders>
              <w:top w:val="single" w:color="auto" w:sz="4" w:space="0"/>
              <w:left w:val="nil"/>
              <w:bottom w:val="single" w:color="auto" w:sz="4" w:space="0"/>
              <w:right w:val="single" w:color="auto" w:sz="4" w:space="0"/>
            </w:tcBorders>
            <w:shd w:val="clear" w:color="auto" w:fill="auto"/>
            <w:vAlign w:val="center"/>
          </w:tcPr>
          <w:p>
            <w:pPr>
              <w:widowControl/>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0</w:t>
            </w:r>
          </w:p>
        </w:tc>
        <w:tc>
          <w:tcPr>
            <w:tcW w:w="1438" w:type="dxa"/>
            <w:tcBorders>
              <w:top w:val="single" w:color="auto" w:sz="4" w:space="0"/>
              <w:left w:val="nil"/>
              <w:bottom w:val="single" w:color="auto" w:sz="4" w:space="0"/>
              <w:right w:val="single" w:color="auto" w:sz="4" w:space="0"/>
            </w:tcBorders>
            <w:shd w:val="clear" w:color="auto" w:fill="auto"/>
            <w:vAlign w:val="center"/>
          </w:tcPr>
          <w:p>
            <w:pPr>
              <w:widowControl/>
              <w:adjustRightInd w:val="0"/>
              <w:spacing w:line="560" w:lineRule="exact"/>
              <w:jc w:val="center"/>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100%</w:t>
            </w:r>
          </w:p>
        </w:tc>
      </w:tr>
    </w:tbl>
    <w:p>
      <w:pPr>
        <w:keepNext w:val="0"/>
        <w:keepLines w:val="0"/>
        <w:pageBreakBefore w:val="0"/>
        <w:kinsoku/>
        <w:wordWrap/>
        <w:overflowPunct/>
        <w:topLinePunct w:val="0"/>
        <w:autoSpaceDE/>
        <w:autoSpaceDN/>
        <w:bidi w:val="0"/>
        <w:adjustRightInd w:val="0"/>
        <w:snapToGrid/>
        <w:spacing w:line="590" w:lineRule="exact"/>
        <w:ind w:firstLine="632" w:firstLineChars="200"/>
        <w:textAlignment w:val="auto"/>
        <w:outlineLvl w:val="0"/>
        <w:rPr>
          <w:rFonts w:ascii="楷体_GB2312" w:hAnsi="楷体_GB2312" w:eastAsia="楷体_GB2312" w:cs="楷体_GB2312"/>
          <w:b/>
          <w:bCs/>
          <w:color w:val="000000"/>
          <w:highlight w:val="none"/>
        </w:rPr>
      </w:pPr>
      <w:r>
        <w:rPr>
          <w:rFonts w:hint="eastAsia" w:ascii="楷体_GB2312" w:hAnsi="楷体_GB2312" w:eastAsia="楷体_GB2312" w:cs="楷体_GB2312"/>
          <w:b/>
          <w:bCs/>
          <w:highlight w:val="none"/>
        </w:rPr>
        <w:t>（三）项目资金管理情况分析</w:t>
      </w:r>
    </w:p>
    <w:p>
      <w:pPr>
        <w:keepNext w:val="0"/>
        <w:keepLines w:val="0"/>
        <w:pageBreakBefore w:val="0"/>
        <w:kinsoku/>
        <w:wordWrap/>
        <w:overflowPunct/>
        <w:topLinePunct w:val="0"/>
        <w:autoSpaceDE/>
        <w:autoSpaceDN/>
        <w:bidi w:val="0"/>
        <w:adjustRightInd w:val="0"/>
        <w:snapToGrid/>
        <w:spacing w:line="590" w:lineRule="exact"/>
        <w:ind w:firstLine="632" w:firstLineChars="200"/>
        <w:textAlignment w:val="auto"/>
        <w:outlineLvl w:val="0"/>
        <w:rPr>
          <w:rFonts w:hAnsi="仿宋_GB2312"/>
          <w:color w:val="000000"/>
          <w:kern w:val="0"/>
          <w:highlight w:val="none"/>
        </w:rPr>
      </w:pPr>
      <w:r>
        <w:rPr>
          <w:rFonts w:hint="eastAsia" w:hAnsi="仿宋_GB2312"/>
          <w:color w:val="000000"/>
          <w:kern w:val="0"/>
          <w:highlight w:val="none"/>
        </w:rPr>
        <w:t>为合法、合规使用项目资金，我中心严格依据</w:t>
      </w:r>
      <w:r>
        <w:rPr>
          <w:rFonts w:hint="eastAsia" w:hAnsi="仿宋_GB2312"/>
          <w:highlight w:val="none"/>
        </w:rPr>
        <w:t>彩票发行销售管理办法</w:t>
      </w:r>
      <w:r>
        <w:rPr>
          <w:rFonts w:hint="eastAsia" w:hAnsi="仿宋_GB2312"/>
          <w:color w:val="000000"/>
          <w:kern w:val="0"/>
          <w:highlight w:val="none"/>
        </w:rPr>
        <w:t>、省财政厅下发的各项制度办法及省福彩中心内控管理制度，督促业务部门严格执行预算，并实行项目进度跟踪、随时掌握和监督项目资金开支情况，确保经费使用合法合规，专款专用。</w:t>
      </w:r>
    </w:p>
    <w:p>
      <w:pPr>
        <w:keepNext w:val="0"/>
        <w:keepLines w:val="0"/>
        <w:pageBreakBefore w:val="0"/>
        <w:kinsoku/>
        <w:wordWrap/>
        <w:overflowPunct/>
        <w:topLinePunct w:val="0"/>
        <w:autoSpaceDE/>
        <w:autoSpaceDN/>
        <w:bidi w:val="0"/>
        <w:adjustRightInd w:val="0"/>
        <w:snapToGrid/>
        <w:spacing w:line="590" w:lineRule="exact"/>
        <w:ind w:firstLine="632" w:firstLineChars="200"/>
        <w:textAlignment w:val="auto"/>
        <w:rPr>
          <w:rFonts w:ascii="黑体" w:hAnsi="黑体" w:eastAsia="黑体" w:cs="黑体"/>
          <w:bCs/>
          <w:color w:val="000000"/>
          <w:highlight w:val="none"/>
        </w:rPr>
      </w:pPr>
      <w:r>
        <w:rPr>
          <w:rFonts w:hint="eastAsia" w:ascii="黑体" w:hAnsi="黑体" w:eastAsia="黑体" w:cs="黑体"/>
          <w:bCs/>
          <w:color w:val="000000"/>
          <w:highlight w:val="none"/>
        </w:rPr>
        <w:t>三、项目组织实施情况</w:t>
      </w:r>
    </w:p>
    <w:p>
      <w:pPr>
        <w:keepNext w:val="0"/>
        <w:keepLines w:val="0"/>
        <w:pageBreakBefore w:val="0"/>
        <w:kinsoku/>
        <w:wordWrap/>
        <w:overflowPunct/>
        <w:topLinePunct w:val="0"/>
        <w:autoSpaceDE/>
        <w:autoSpaceDN/>
        <w:bidi w:val="0"/>
        <w:adjustRightInd w:val="0"/>
        <w:snapToGrid/>
        <w:spacing w:line="590" w:lineRule="exact"/>
        <w:ind w:firstLine="632" w:firstLineChars="200"/>
        <w:textAlignment w:val="auto"/>
        <w:outlineLvl w:val="0"/>
        <w:rPr>
          <w:rFonts w:ascii="楷体_GB2312" w:hAnsi="楷体_GB2312" w:eastAsia="楷体_GB2312" w:cs="楷体_GB2312"/>
          <w:b/>
          <w:bCs/>
          <w:highlight w:val="none"/>
        </w:rPr>
      </w:pPr>
      <w:r>
        <w:rPr>
          <w:rFonts w:hint="eastAsia" w:ascii="楷体_GB2312" w:hAnsi="楷体_GB2312" w:eastAsia="楷体_GB2312" w:cs="楷体_GB2312"/>
          <w:b/>
          <w:bCs/>
          <w:highlight w:val="none"/>
        </w:rPr>
        <w:t>（一）项目组织情况分析</w:t>
      </w:r>
    </w:p>
    <w:p>
      <w:pPr>
        <w:keepNext w:val="0"/>
        <w:keepLines w:val="0"/>
        <w:pageBreakBefore w:val="0"/>
        <w:kinsoku/>
        <w:wordWrap/>
        <w:overflowPunct/>
        <w:topLinePunct w:val="0"/>
        <w:autoSpaceDE/>
        <w:autoSpaceDN/>
        <w:bidi w:val="0"/>
        <w:adjustRightInd w:val="0"/>
        <w:snapToGrid/>
        <w:spacing w:line="590" w:lineRule="exact"/>
        <w:ind w:firstLine="632" w:firstLineChars="200"/>
        <w:textAlignment w:val="auto"/>
        <w:outlineLvl w:val="0"/>
        <w:rPr>
          <w:rFonts w:hAnsi="仿宋_GB2312"/>
          <w:color w:val="000000"/>
          <w:highlight w:val="none"/>
        </w:rPr>
      </w:pPr>
      <w:r>
        <w:rPr>
          <w:rFonts w:hint="eastAsia" w:hAnsi="仿宋_GB2312"/>
          <w:color w:val="000000"/>
          <w:kern w:val="0"/>
          <w:highlight w:val="none"/>
        </w:rPr>
        <w:t>为确保项目保质保量地完成，我中心严格按照《政府采购法》及《内部控制制度》操作程序实施项目管理。一是涉及招标项目在项目开展前后实行公示，自觉接受群众监督，提高项目质量。二是开展公开招标，择优选择建设合作单位。三是加强技术指导，进行项目日常检查监督管理。四是严格按项目方案建设，杜绝擅自调整项目计划现象。五是组织项目完成验收，确保研发使用效果。</w:t>
      </w:r>
    </w:p>
    <w:p>
      <w:pPr>
        <w:keepNext w:val="0"/>
        <w:keepLines w:val="0"/>
        <w:pageBreakBefore w:val="0"/>
        <w:kinsoku/>
        <w:wordWrap/>
        <w:overflowPunct/>
        <w:topLinePunct w:val="0"/>
        <w:autoSpaceDE/>
        <w:autoSpaceDN/>
        <w:bidi w:val="0"/>
        <w:adjustRightInd w:val="0"/>
        <w:snapToGrid/>
        <w:spacing w:line="590" w:lineRule="exact"/>
        <w:ind w:firstLine="632" w:firstLineChars="200"/>
        <w:textAlignment w:val="auto"/>
        <w:outlineLvl w:val="0"/>
        <w:rPr>
          <w:rFonts w:ascii="楷体_GB2312" w:hAnsi="楷体_GB2312" w:eastAsia="楷体_GB2312" w:cs="楷体_GB2312"/>
          <w:b/>
          <w:bCs/>
          <w:highlight w:val="none"/>
        </w:rPr>
      </w:pPr>
      <w:r>
        <w:rPr>
          <w:rFonts w:hint="eastAsia" w:ascii="楷体_GB2312" w:hAnsi="楷体_GB2312" w:eastAsia="楷体_GB2312" w:cs="楷体_GB2312"/>
          <w:b/>
          <w:bCs/>
          <w:highlight w:val="none"/>
        </w:rPr>
        <w:t>（二）项目管理情况分析</w:t>
      </w:r>
    </w:p>
    <w:p>
      <w:pPr>
        <w:keepNext w:val="0"/>
        <w:keepLines w:val="0"/>
        <w:pageBreakBefore w:val="0"/>
        <w:kinsoku/>
        <w:wordWrap/>
        <w:overflowPunct/>
        <w:topLinePunct w:val="0"/>
        <w:autoSpaceDE/>
        <w:autoSpaceDN/>
        <w:bidi w:val="0"/>
        <w:adjustRightInd w:val="0"/>
        <w:snapToGrid/>
        <w:spacing w:line="590" w:lineRule="exact"/>
        <w:ind w:firstLine="632" w:firstLineChars="200"/>
        <w:textAlignment w:val="auto"/>
        <w:outlineLvl w:val="0"/>
        <w:rPr>
          <w:rFonts w:hAnsi="仿宋_GB2312"/>
          <w:color w:val="000000"/>
          <w:kern w:val="0"/>
          <w:highlight w:val="none"/>
        </w:rPr>
      </w:pPr>
      <w:r>
        <w:rPr>
          <w:rFonts w:hint="eastAsia" w:hAnsi="仿宋_GB2312"/>
          <w:color w:val="000000"/>
          <w:kern w:val="0"/>
          <w:highlight w:val="none"/>
        </w:rPr>
        <w:t>在项目的管理过程中，要求承建方根据合同约定的内容和工期，做好项目的任务分解和时间计划，要求施工方案在实施前提交我方审核。我方按照项目计划进行日常的检查与监督管理，对过程中出现的问题及时记录并要求整改。要求承建方做好项目文档工作的编写与收集。</w:t>
      </w:r>
    </w:p>
    <w:p>
      <w:pPr>
        <w:keepNext w:val="0"/>
        <w:keepLines w:val="0"/>
        <w:pageBreakBefore w:val="0"/>
        <w:kinsoku/>
        <w:wordWrap/>
        <w:overflowPunct/>
        <w:topLinePunct w:val="0"/>
        <w:autoSpaceDE/>
        <w:autoSpaceDN/>
        <w:bidi w:val="0"/>
        <w:adjustRightInd w:val="0"/>
        <w:snapToGrid/>
        <w:spacing w:line="590" w:lineRule="exact"/>
        <w:ind w:firstLine="632" w:firstLineChars="200"/>
        <w:textAlignment w:val="auto"/>
        <w:rPr>
          <w:rFonts w:ascii="黑体" w:hAnsi="黑体" w:eastAsia="黑体" w:cs="黑体"/>
          <w:bCs/>
          <w:color w:val="000000"/>
          <w:highlight w:val="none"/>
        </w:rPr>
      </w:pPr>
      <w:r>
        <w:rPr>
          <w:rFonts w:hint="eastAsia" w:ascii="黑体" w:hAnsi="黑体" w:eastAsia="黑体" w:cs="黑体"/>
          <w:bCs/>
          <w:color w:val="000000"/>
          <w:highlight w:val="none"/>
        </w:rPr>
        <w:t>四、项目绩效情况</w:t>
      </w:r>
    </w:p>
    <w:p>
      <w:pPr>
        <w:keepNext w:val="0"/>
        <w:keepLines w:val="0"/>
        <w:pageBreakBefore w:val="0"/>
        <w:kinsoku/>
        <w:wordWrap/>
        <w:overflowPunct/>
        <w:topLinePunct w:val="0"/>
        <w:autoSpaceDE/>
        <w:autoSpaceDN/>
        <w:bidi w:val="0"/>
        <w:adjustRightInd w:val="0"/>
        <w:snapToGrid/>
        <w:spacing w:line="590" w:lineRule="exact"/>
        <w:ind w:firstLine="632" w:firstLineChars="200"/>
        <w:textAlignment w:val="auto"/>
        <w:outlineLvl w:val="0"/>
        <w:rPr>
          <w:rFonts w:ascii="楷体_GB2312" w:hAnsi="楷体_GB2312" w:eastAsia="楷体_GB2312" w:cs="楷体_GB2312"/>
          <w:b/>
          <w:bCs/>
          <w:highlight w:val="none"/>
        </w:rPr>
      </w:pPr>
      <w:r>
        <w:rPr>
          <w:rFonts w:hint="eastAsia" w:ascii="楷体_GB2312" w:hAnsi="楷体_GB2312" w:eastAsia="楷体_GB2312" w:cs="楷体_GB2312"/>
          <w:b/>
          <w:bCs/>
          <w:highlight w:val="none"/>
        </w:rPr>
        <w:t>（一）项目绩效目标完成情况分析</w:t>
      </w:r>
    </w:p>
    <w:p>
      <w:pPr>
        <w:keepNext w:val="0"/>
        <w:keepLines w:val="0"/>
        <w:pageBreakBefore w:val="0"/>
        <w:kinsoku/>
        <w:wordWrap/>
        <w:overflowPunct/>
        <w:topLinePunct w:val="0"/>
        <w:autoSpaceDE/>
        <w:autoSpaceDN/>
        <w:bidi w:val="0"/>
        <w:adjustRightInd w:val="0"/>
        <w:snapToGrid/>
        <w:spacing w:line="590" w:lineRule="exact"/>
        <w:ind w:firstLine="632" w:firstLineChars="200"/>
        <w:textAlignment w:val="auto"/>
        <w:rPr>
          <w:rFonts w:hAnsi="仿宋_GB2312"/>
          <w:color w:val="000000"/>
          <w:highlight w:val="none"/>
        </w:rPr>
      </w:pPr>
      <w:r>
        <w:rPr>
          <w:rFonts w:hint="eastAsia" w:ascii="仿宋_GB2312" w:hAnsi="仿宋_GB2312" w:cs="仿宋_GB2312"/>
          <w:szCs w:val="32"/>
          <w:highlight w:val="none"/>
        </w:rPr>
        <w:t>202</w:t>
      </w:r>
      <w:r>
        <w:rPr>
          <w:rFonts w:ascii="仿宋_GB2312" w:hAnsi="仿宋_GB2312" w:cs="仿宋_GB2312"/>
          <w:szCs w:val="32"/>
          <w:highlight w:val="none"/>
        </w:rPr>
        <w:t>3</w:t>
      </w:r>
      <w:r>
        <w:rPr>
          <w:rFonts w:hint="eastAsia" w:ascii="仿宋_GB2312" w:hAnsi="仿宋_GB2312" w:cs="仿宋_GB2312"/>
          <w:szCs w:val="32"/>
          <w:highlight w:val="none"/>
        </w:rPr>
        <w:t>全年已完成全省</w:t>
      </w:r>
      <w:r>
        <w:rPr>
          <w:rFonts w:hint="eastAsia" w:hAnsi="仿宋_GB2312" w:cs="仿宋_GB2312"/>
          <w:szCs w:val="32"/>
          <w:highlight w:val="none"/>
        </w:rPr>
        <w:t>彩票</w:t>
      </w:r>
      <w:r>
        <w:rPr>
          <w:rFonts w:hint="eastAsia" w:ascii="仿宋_GB2312" w:hAnsi="仿宋_GB2312" w:cs="仿宋_GB2312"/>
          <w:szCs w:val="32"/>
          <w:highlight w:val="none"/>
        </w:rPr>
        <w:t>销售系统及</w:t>
      </w:r>
      <w:r>
        <w:rPr>
          <w:rFonts w:hint="eastAsia" w:hAnsi="仿宋_GB2312" w:cs="仿宋_GB2312"/>
          <w:szCs w:val="32"/>
          <w:highlight w:val="none"/>
        </w:rPr>
        <w:t>中心数据机房</w:t>
      </w:r>
      <w:r>
        <w:rPr>
          <w:rFonts w:hint="eastAsia" w:ascii="仿宋_GB2312" w:hAnsi="仿宋_GB2312" w:cs="仿宋_GB2312"/>
          <w:szCs w:val="32"/>
          <w:highlight w:val="none"/>
        </w:rPr>
        <w:t>基础设施的维护</w:t>
      </w:r>
      <w:r>
        <w:rPr>
          <w:rFonts w:hint="eastAsia" w:hAnsi="仿宋_GB2312" w:cs="仿宋_GB2312"/>
          <w:szCs w:val="32"/>
          <w:highlight w:val="none"/>
        </w:rPr>
        <w:t>维修</w:t>
      </w:r>
      <w:r>
        <w:rPr>
          <w:rFonts w:hint="eastAsia" w:ascii="仿宋_GB2312" w:hAnsi="仿宋_GB2312" w:cs="仿宋_GB2312"/>
          <w:szCs w:val="32"/>
          <w:highlight w:val="none"/>
        </w:rPr>
        <w:t>管理，</w:t>
      </w:r>
      <w:r>
        <w:rPr>
          <w:rFonts w:hint="eastAsia" w:hAnsi="仿宋_GB2312" w:cs="仿宋_GB2312"/>
          <w:szCs w:val="32"/>
          <w:highlight w:val="none"/>
        </w:rPr>
        <w:t>开展护网行动，电脑票投注机维护管理，</w:t>
      </w:r>
      <w:r>
        <w:rPr>
          <w:rFonts w:hint="eastAsia" w:ascii="仿宋_GB2312" w:hAnsi="仿宋_GB2312" w:cs="仿宋_GB2312"/>
          <w:szCs w:val="32"/>
          <w:highlight w:val="none"/>
        </w:rPr>
        <w:t>加强电脑票、即开票系统运行维护、保障通信线路安全畅通等工作，有效保证了福彩销售系统的技术安全。</w:t>
      </w:r>
      <w:r>
        <w:rPr>
          <w:rFonts w:hint="eastAsia" w:hAnsi="仿宋_GB2312"/>
          <w:color w:val="000000"/>
          <w:highlight w:val="none"/>
        </w:rPr>
        <w:t>指标</w:t>
      </w:r>
      <w:r>
        <w:rPr>
          <w:rFonts w:hAnsi="仿宋_GB2312"/>
          <w:color w:val="000000"/>
          <w:highlight w:val="none"/>
        </w:rPr>
        <w:t>1</w:t>
      </w:r>
      <w:r>
        <w:rPr>
          <w:rFonts w:hint="eastAsia" w:hAnsi="仿宋_GB2312"/>
          <w:color w:val="000000"/>
          <w:highlight w:val="none"/>
        </w:rPr>
        <w:t>：机房设备修复平均时间不高于6小时，实际机房设备修复平均时间1小时；指标</w:t>
      </w:r>
      <w:r>
        <w:rPr>
          <w:rFonts w:hAnsi="仿宋_GB2312"/>
          <w:color w:val="000000"/>
          <w:highlight w:val="none"/>
        </w:rPr>
        <w:t>2</w:t>
      </w:r>
      <w:r>
        <w:rPr>
          <w:rFonts w:hint="eastAsia" w:hAnsi="仿宋_GB2312"/>
          <w:color w:val="000000"/>
          <w:highlight w:val="none"/>
        </w:rPr>
        <w:t>：投注机故障修复平均时间不高于6小时，实际投注机故障修复平均时间2小时；指标</w:t>
      </w:r>
      <w:r>
        <w:rPr>
          <w:rFonts w:hAnsi="仿宋_GB2312"/>
          <w:color w:val="000000"/>
          <w:highlight w:val="none"/>
        </w:rPr>
        <w:t>3</w:t>
      </w:r>
      <w:r>
        <w:rPr>
          <w:rFonts w:hint="eastAsia" w:hAnsi="仿宋_GB2312"/>
          <w:color w:val="000000"/>
          <w:highlight w:val="none"/>
        </w:rPr>
        <w:t>：系统故障率小于或等于8%，实际系统故障率0.5%；</w:t>
      </w:r>
      <w:r>
        <w:rPr>
          <w:rFonts w:hint="eastAsia" w:hAnsi="仿宋_GB2312"/>
          <w:highlight w:val="none"/>
        </w:rPr>
        <w:t>指标</w:t>
      </w:r>
      <w:r>
        <w:rPr>
          <w:rFonts w:hAnsi="仿宋_GB2312"/>
          <w:highlight w:val="none"/>
        </w:rPr>
        <w:t>4</w:t>
      </w:r>
      <w:r>
        <w:rPr>
          <w:rFonts w:hint="eastAsia" w:hAnsi="仿宋_GB2312"/>
          <w:highlight w:val="none"/>
        </w:rPr>
        <w:t>：销售系统故障或机房设备故障造成销售中断1小时以上次数不大于5次，实际销售系统故障或机房设备故障造成销售中断1小时以上次数0次；指标</w:t>
      </w:r>
      <w:r>
        <w:rPr>
          <w:rFonts w:hAnsi="仿宋_GB2312"/>
          <w:highlight w:val="none"/>
        </w:rPr>
        <w:t>5</w:t>
      </w:r>
      <w:r>
        <w:rPr>
          <w:rFonts w:hint="eastAsia" w:hAnsi="仿宋_GB2312"/>
          <w:highlight w:val="none"/>
        </w:rPr>
        <w:t>：系统验收合格率不低于95%，实际验收合格率</w:t>
      </w:r>
      <w:r>
        <w:rPr>
          <w:rFonts w:hint="eastAsia" w:hAnsi="仿宋_GB2312"/>
          <w:color w:val="000000"/>
          <w:highlight w:val="none"/>
        </w:rPr>
        <w:t>100%；指标</w:t>
      </w:r>
      <w:r>
        <w:rPr>
          <w:rFonts w:hAnsi="仿宋_GB2312"/>
          <w:color w:val="000000"/>
          <w:highlight w:val="none"/>
        </w:rPr>
        <w:t>6</w:t>
      </w:r>
      <w:r>
        <w:rPr>
          <w:rFonts w:hint="eastAsia" w:hAnsi="仿宋_GB2312"/>
          <w:color w:val="000000"/>
          <w:highlight w:val="none"/>
        </w:rPr>
        <w:t>：销售数据稳定性大于或等于95%（优95%-100%，良85%-94%，中75%-84%，差74%以下），实际销售数据稳定性100%；指标</w:t>
      </w:r>
      <w:r>
        <w:rPr>
          <w:rFonts w:hint="eastAsia" w:hAnsi="仿宋_GB2312"/>
          <w:highlight w:val="none"/>
        </w:rPr>
        <w:t>7：保障彩票正常销售不小于1年，实际保障彩票正常销售1年；指</w:t>
      </w:r>
      <w:r>
        <w:rPr>
          <w:rFonts w:hint="eastAsia" w:hAnsi="仿宋_GB2312"/>
          <w:color w:val="000000"/>
          <w:highlight w:val="none"/>
        </w:rPr>
        <w:t>标8：使用人员满意度大于或等于80%，</w:t>
      </w:r>
      <w:r>
        <w:rPr>
          <w:rFonts w:hint="eastAsia" w:hAnsi="仿宋_GB2312"/>
          <w:color w:val="000000"/>
          <w:highlight w:val="none"/>
          <w:lang w:eastAsia="zh-CN"/>
        </w:rPr>
        <w:t>通过问卷调查统计使用人员</w:t>
      </w:r>
      <w:r>
        <w:rPr>
          <w:rFonts w:hint="eastAsia" w:hAnsi="仿宋_GB2312"/>
          <w:color w:val="000000"/>
          <w:highlight w:val="none"/>
        </w:rPr>
        <w:t>实际满意度98%。</w:t>
      </w:r>
    </w:p>
    <w:p>
      <w:pPr>
        <w:pStyle w:val="16"/>
        <w:keepNext w:val="0"/>
        <w:keepLines w:val="0"/>
        <w:pageBreakBefore w:val="0"/>
        <w:kinsoku/>
        <w:wordWrap/>
        <w:overflowPunct/>
        <w:topLinePunct w:val="0"/>
        <w:autoSpaceDE/>
        <w:autoSpaceDN/>
        <w:bidi w:val="0"/>
        <w:adjustRightInd w:val="0"/>
        <w:snapToGrid/>
        <w:spacing w:line="590" w:lineRule="exact"/>
        <w:ind w:firstLine="632"/>
        <w:jc w:val="both"/>
        <w:textAlignment w:val="auto"/>
        <w:rPr>
          <w:rFonts w:ascii="仿宋_GB2312" w:hAnsi="仿宋_GB2312" w:cs="仿宋_GB2312"/>
          <w:sz w:val="32"/>
          <w:szCs w:val="32"/>
          <w:highlight w:val="none"/>
        </w:rPr>
      </w:pPr>
      <w:r>
        <w:rPr>
          <w:rFonts w:hint="eastAsia" w:ascii="仿宋_GB2312" w:hAnsi="仿宋_GB2312" w:cs="仿宋_GB2312"/>
          <w:sz w:val="32"/>
          <w:szCs w:val="32"/>
          <w:highlight w:val="none"/>
        </w:rPr>
        <w:t>全年无因销售系统故障或机房设备故障造成销售中断造成重大安全事故，各项指标均达到预期目标，有效保障全省全年福彩销售系统安全运行，确保了项目的完成质量及健康发展。</w:t>
      </w:r>
    </w:p>
    <w:p>
      <w:pPr>
        <w:keepNext w:val="0"/>
        <w:keepLines w:val="0"/>
        <w:pageBreakBefore w:val="0"/>
        <w:kinsoku/>
        <w:wordWrap/>
        <w:overflowPunct/>
        <w:topLinePunct w:val="0"/>
        <w:autoSpaceDE/>
        <w:autoSpaceDN/>
        <w:bidi w:val="0"/>
        <w:adjustRightInd w:val="0"/>
        <w:snapToGrid/>
        <w:spacing w:line="590" w:lineRule="exact"/>
        <w:ind w:firstLine="632" w:firstLineChars="200"/>
        <w:textAlignment w:val="auto"/>
        <w:rPr>
          <w:rFonts w:hint="eastAsia" w:ascii="仿宋_GB2312" w:hAnsi="仿宋_GB2312" w:eastAsia="仿宋_GB2312" w:cs="仿宋_GB2312"/>
          <w:color w:val="000000"/>
          <w:highlight w:val="none"/>
        </w:rPr>
      </w:pPr>
      <w:r>
        <w:rPr>
          <w:rFonts w:hint="eastAsia" w:ascii="仿宋_GB2312" w:hAnsi="仿宋_GB2312" w:eastAsia="仿宋_GB2312" w:cs="仿宋_GB2312"/>
          <w:color w:val="000000"/>
          <w:highlight w:val="none"/>
        </w:rPr>
        <w:t>1.项目的经济性分析</w:t>
      </w:r>
    </w:p>
    <w:p>
      <w:pPr>
        <w:keepNext w:val="0"/>
        <w:keepLines w:val="0"/>
        <w:pageBreakBefore w:val="0"/>
        <w:kinsoku/>
        <w:wordWrap/>
        <w:overflowPunct/>
        <w:topLinePunct w:val="0"/>
        <w:autoSpaceDE/>
        <w:autoSpaceDN/>
        <w:bidi w:val="0"/>
        <w:adjustRightInd w:val="0"/>
        <w:snapToGrid/>
        <w:spacing w:line="590" w:lineRule="exact"/>
        <w:ind w:firstLine="632" w:firstLineChars="200"/>
        <w:textAlignment w:val="auto"/>
        <w:outlineLvl w:val="0"/>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rPr>
        <w:t>（1）项目成本（预算）控制情况</w:t>
      </w:r>
    </w:p>
    <w:p>
      <w:pPr>
        <w:keepNext w:val="0"/>
        <w:keepLines w:val="0"/>
        <w:pageBreakBefore w:val="0"/>
        <w:kinsoku/>
        <w:wordWrap/>
        <w:overflowPunct/>
        <w:topLinePunct w:val="0"/>
        <w:autoSpaceDE/>
        <w:autoSpaceDN/>
        <w:bidi w:val="0"/>
        <w:adjustRightInd w:val="0"/>
        <w:snapToGrid/>
        <w:spacing w:line="590" w:lineRule="exact"/>
        <w:ind w:firstLine="632" w:firstLineChars="200"/>
        <w:textAlignment w:val="auto"/>
        <w:outlineLvl w:val="0"/>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rPr>
        <w:t>本项目在实施过程中，严格的对项目的各项成本进行控制，采取相应的技术措施，实现了本项目的全部内容。</w:t>
      </w:r>
    </w:p>
    <w:p>
      <w:pPr>
        <w:keepNext w:val="0"/>
        <w:keepLines w:val="0"/>
        <w:pageBreakBefore w:val="0"/>
        <w:kinsoku/>
        <w:wordWrap/>
        <w:overflowPunct/>
        <w:topLinePunct w:val="0"/>
        <w:autoSpaceDE/>
        <w:autoSpaceDN/>
        <w:bidi w:val="0"/>
        <w:adjustRightInd w:val="0"/>
        <w:snapToGrid/>
        <w:spacing w:line="590" w:lineRule="exact"/>
        <w:ind w:firstLine="632" w:firstLineChars="200"/>
        <w:textAlignment w:val="auto"/>
        <w:outlineLvl w:val="0"/>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rPr>
        <w:t>（2）项目成本（预算）节约情况</w:t>
      </w:r>
    </w:p>
    <w:p>
      <w:pPr>
        <w:keepNext w:val="0"/>
        <w:keepLines w:val="0"/>
        <w:pageBreakBefore w:val="0"/>
        <w:kinsoku/>
        <w:wordWrap/>
        <w:overflowPunct/>
        <w:topLinePunct w:val="0"/>
        <w:autoSpaceDE/>
        <w:autoSpaceDN/>
        <w:bidi w:val="0"/>
        <w:adjustRightInd w:val="0"/>
        <w:snapToGrid/>
        <w:spacing w:line="590" w:lineRule="exact"/>
        <w:ind w:firstLine="632" w:firstLineChars="200"/>
        <w:textAlignment w:val="auto"/>
        <w:outlineLvl w:val="0"/>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rPr>
        <w:t>本项目在规划设计上从全局出发，对未来5年的信息化建设内容进行了总体规划，避免了重复设计与建设,有效地节约了建设成本。</w:t>
      </w:r>
    </w:p>
    <w:p>
      <w:pPr>
        <w:keepNext w:val="0"/>
        <w:keepLines w:val="0"/>
        <w:pageBreakBefore w:val="0"/>
        <w:tabs>
          <w:tab w:val="left" w:pos="640"/>
        </w:tabs>
        <w:kinsoku/>
        <w:wordWrap/>
        <w:overflowPunct/>
        <w:topLinePunct w:val="0"/>
        <w:autoSpaceDE/>
        <w:autoSpaceDN/>
        <w:bidi w:val="0"/>
        <w:adjustRightInd w:val="0"/>
        <w:snapToGrid/>
        <w:spacing w:line="590" w:lineRule="exact"/>
        <w:ind w:firstLine="632" w:firstLineChars="200"/>
        <w:textAlignment w:val="auto"/>
        <w:outlineLvl w:val="0"/>
        <w:rPr>
          <w:rFonts w:hint="eastAsia" w:ascii="仿宋_GB2312" w:hAnsi="仿宋_GB2312" w:eastAsia="仿宋_GB2312" w:cs="仿宋_GB2312"/>
          <w:color w:val="000000"/>
          <w:highlight w:val="none"/>
        </w:rPr>
      </w:pPr>
      <w:r>
        <w:rPr>
          <w:rFonts w:hint="eastAsia" w:ascii="仿宋_GB2312" w:hAnsi="仿宋_GB2312" w:eastAsia="仿宋_GB2312" w:cs="仿宋_GB2312"/>
          <w:color w:val="000000"/>
          <w:highlight w:val="none"/>
        </w:rPr>
        <w:t>2.项目的效率性分析</w:t>
      </w:r>
    </w:p>
    <w:p>
      <w:pPr>
        <w:keepNext w:val="0"/>
        <w:keepLines w:val="0"/>
        <w:pageBreakBefore w:val="0"/>
        <w:kinsoku/>
        <w:wordWrap/>
        <w:overflowPunct/>
        <w:topLinePunct w:val="0"/>
        <w:autoSpaceDE/>
        <w:autoSpaceDN/>
        <w:bidi w:val="0"/>
        <w:adjustRightInd w:val="0"/>
        <w:snapToGrid/>
        <w:spacing w:line="590" w:lineRule="exact"/>
        <w:ind w:firstLine="632" w:firstLineChars="200"/>
        <w:textAlignment w:val="auto"/>
        <w:outlineLvl w:val="0"/>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rPr>
        <w:t>（1）项目完成质量</w:t>
      </w:r>
    </w:p>
    <w:p>
      <w:pPr>
        <w:keepNext w:val="0"/>
        <w:keepLines w:val="0"/>
        <w:pageBreakBefore w:val="0"/>
        <w:kinsoku/>
        <w:wordWrap/>
        <w:overflowPunct/>
        <w:topLinePunct w:val="0"/>
        <w:autoSpaceDE/>
        <w:autoSpaceDN/>
        <w:bidi w:val="0"/>
        <w:adjustRightInd w:val="0"/>
        <w:snapToGrid/>
        <w:spacing w:line="590" w:lineRule="exact"/>
        <w:ind w:firstLine="632" w:firstLineChars="200"/>
        <w:textAlignment w:val="auto"/>
        <w:outlineLvl w:val="0"/>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rPr>
        <w:t>运维项目服务单位按合同规定时间内响应进行运维服务，有效保障全省全年福彩销售系统安全运行，确保了项目的完成质量。</w:t>
      </w:r>
    </w:p>
    <w:p>
      <w:pPr>
        <w:keepNext w:val="0"/>
        <w:keepLines w:val="0"/>
        <w:pageBreakBefore w:val="0"/>
        <w:kinsoku/>
        <w:wordWrap/>
        <w:overflowPunct/>
        <w:topLinePunct w:val="0"/>
        <w:autoSpaceDE/>
        <w:autoSpaceDN/>
        <w:bidi w:val="0"/>
        <w:adjustRightInd w:val="0"/>
        <w:snapToGrid/>
        <w:spacing w:line="590" w:lineRule="exact"/>
        <w:ind w:firstLine="632" w:firstLineChars="200"/>
        <w:textAlignment w:val="auto"/>
        <w:outlineLvl w:val="0"/>
        <w:rPr>
          <w:rFonts w:hint="eastAsia" w:ascii="仿宋_GB2312" w:hAnsi="仿宋_GB2312" w:eastAsia="仿宋_GB2312" w:cs="仿宋_GB2312"/>
          <w:color w:val="000000"/>
          <w:highlight w:val="none"/>
        </w:rPr>
      </w:pPr>
      <w:r>
        <w:rPr>
          <w:rFonts w:hint="eastAsia" w:ascii="仿宋_GB2312" w:hAnsi="仿宋_GB2312" w:eastAsia="仿宋_GB2312" w:cs="仿宋_GB2312"/>
          <w:color w:val="000000"/>
          <w:highlight w:val="none"/>
        </w:rPr>
        <w:t>3.项目的</w:t>
      </w:r>
      <w:r>
        <w:rPr>
          <w:rFonts w:hint="eastAsia" w:ascii="仿宋_GB2312" w:hAnsi="仿宋_GB2312" w:eastAsia="仿宋_GB2312" w:cs="仿宋_GB2312"/>
          <w:highlight w:val="none"/>
          <w:lang w:eastAsia="zh-CN"/>
        </w:rPr>
        <w:t>有效</w:t>
      </w:r>
      <w:r>
        <w:rPr>
          <w:rFonts w:hint="eastAsia" w:ascii="仿宋_GB2312" w:hAnsi="仿宋_GB2312" w:eastAsia="仿宋_GB2312" w:cs="仿宋_GB2312"/>
          <w:highlight w:val="none"/>
        </w:rPr>
        <w:t>性分析</w:t>
      </w:r>
    </w:p>
    <w:p>
      <w:pPr>
        <w:keepNext w:val="0"/>
        <w:keepLines w:val="0"/>
        <w:pageBreakBefore w:val="0"/>
        <w:kinsoku/>
        <w:wordWrap/>
        <w:overflowPunct/>
        <w:topLinePunct w:val="0"/>
        <w:autoSpaceDE/>
        <w:autoSpaceDN/>
        <w:bidi w:val="0"/>
        <w:adjustRightInd w:val="0"/>
        <w:snapToGrid/>
        <w:spacing w:line="590" w:lineRule="exact"/>
        <w:ind w:firstLine="632" w:firstLineChars="200"/>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（1）项目预期目标完成程度</w:t>
      </w:r>
    </w:p>
    <w:p>
      <w:pPr>
        <w:keepNext w:val="0"/>
        <w:keepLines w:val="0"/>
        <w:pageBreakBefore w:val="0"/>
        <w:kinsoku/>
        <w:wordWrap/>
        <w:overflowPunct/>
        <w:topLinePunct w:val="0"/>
        <w:autoSpaceDE/>
        <w:autoSpaceDN/>
        <w:bidi w:val="0"/>
        <w:adjustRightInd w:val="0"/>
        <w:snapToGrid/>
        <w:spacing w:line="590" w:lineRule="exact"/>
        <w:ind w:firstLine="632" w:firstLineChars="200"/>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rPr>
        <w:t>项目很好地完成了预期制定的产出目标和成效目标，完成程度100%。</w:t>
      </w:r>
    </w:p>
    <w:p>
      <w:pPr>
        <w:keepNext w:val="0"/>
        <w:keepLines w:val="0"/>
        <w:pageBreakBefore w:val="0"/>
        <w:kinsoku/>
        <w:wordWrap/>
        <w:overflowPunct/>
        <w:topLinePunct w:val="0"/>
        <w:autoSpaceDE/>
        <w:autoSpaceDN/>
        <w:bidi w:val="0"/>
        <w:adjustRightInd w:val="0"/>
        <w:snapToGrid/>
        <w:spacing w:line="590" w:lineRule="exact"/>
        <w:ind w:firstLine="632" w:firstLineChars="200"/>
        <w:textAlignment w:val="auto"/>
        <w:outlineLvl w:val="0"/>
        <w:rPr>
          <w:rFonts w:hint="eastAsia" w:ascii="仿宋_GB2312" w:hAnsi="仿宋_GB2312" w:eastAsia="仿宋_GB2312" w:cs="仿宋_GB2312"/>
          <w:highlight w:val="none"/>
        </w:rPr>
      </w:pPr>
      <w:r>
        <w:rPr>
          <w:rFonts w:hint="eastAsia" w:ascii="仿宋_GB2312" w:hAnsi="仿宋_GB2312" w:eastAsia="仿宋_GB2312" w:cs="仿宋_GB2312"/>
          <w:highlight w:val="none"/>
        </w:rPr>
        <w:t>（2）项目实施对经济和社会的影响</w:t>
      </w:r>
    </w:p>
    <w:p>
      <w:pPr>
        <w:keepNext w:val="0"/>
        <w:keepLines w:val="0"/>
        <w:pageBreakBefore w:val="0"/>
        <w:kinsoku/>
        <w:wordWrap/>
        <w:overflowPunct/>
        <w:topLinePunct w:val="0"/>
        <w:autoSpaceDE/>
        <w:autoSpaceDN/>
        <w:bidi w:val="0"/>
        <w:adjustRightInd w:val="0"/>
        <w:snapToGrid/>
        <w:spacing w:line="590" w:lineRule="exact"/>
        <w:ind w:firstLine="632" w:firstLineChars="200"/>
        <w:textAlignment w:val="auto"/>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rPr>
        <w:t>项目的顺利实施为海南福利彩票的销售提供了安全保障及技术支持，福利彩票的销售增加了财政收入，为社会筹集了大量的公益金，为海南公益事业和福利事业发展做出了重要的贡献。</w:t>
      </w:r>
    </w:p>
    <w:p>
      <w:pPr>
        <w:keepNext w:val="0"/>
        <w:keepLines w:val="0"/>
        <w:pageBreakBefore w:val="0"/>
        <w:kinsoku/>
        <w:wordWrap/>
        <w:overflowPunct/>
        <w:topLinePunct w:val="0"/>
        <w:autoSpaceDE/>
        <w:autoSpaceDN/>
        <w:bidi w:val="0"/>
        <w:adjustRightInd w:val="0"/>
        <w:snapToGrid/>
        <w:spacing w:line="590" w:lineRule="exact"/>
        <w:ind w:firstLine="632" w:firstLineChars="200"/>
        <w:textAlignment w:val="auto"/>
        <w:outlineLvl w:val="0"/>
        <w:rPr>
          <w:rFonts w:hint="eastAsia" w:ascii="仿宋_GB2312" w:hAnsi="仿宋_GB2312" w:eastAsia="仿宋_GB2312" w:cs="仿宋_GB2312"/>
          <w:color w:val="000000"/>
          <w:highlight w:val="none"/>
        </w:rPr>
      </w:pPr>
      <w:r>
        <w:rPr>
          <w:rFonts w:hint="eastAsia" w:ascii="仿宋_GB2312" w:hAnsi="仿宋_GB2312" w:eastAsia="仿宋_GB2312" w:cs="仿宋_GB2312"/>
          <w:color w:val="000000"/>
          <w:highlight w:val="none"/>
        </w:rPr>
        <w:t>4.项目的可持续性分析</w:t>
      </w:r>
    </w:p>
    <w:p>
      <w:pPr>
        <w:keepNext w:val="0"/>
        <w:keepLines w:val="0"/>
        <w:pageBreakBefore w:val="0"/>
        <w:kinsoku/>
        <w:wordWrap/>
        <w:overflowPunct/>
        <w:topLinePunct w:val="0"/>
        <w:autoSpaceDE/>
        <w:autoSpaceDN/>
        <w:bidi w:val="0"/>
        <w:adjustRightInd w:val="0"/>
        <w:snapToGrid/>
        <w:spacing w:line="590" w:lineRule="exact"/>
        <w:ind w:firstLine="632" w:firstLineChars="200"/>
        <w:textAlignment w:val="auto"/>
        <w:outlineLvl w:val="0"/>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rPr>
        <w:t>项目完成后，为海南福利彩票的顺利发行销售提供了安全可靠的信息化技术支撑。后续将在资金上争取继续投入，加强海南福彩销售系统安全建设。在运维项目的实施过程中总结出了许多好的管理措施，中心参与人员在技术上和管理上都得到了很好的提升。为项目的后续投入打下坚实基础。</w:t>
      </w:r>
    </w:p>
    <w:p>
      <w:pPr>
        <w:keepNext w:val="0"/>
        <w:keepLines w:val="0"/>
        <w:pageBreakBefore w:val="0"/>
        <w:kinsoku/>
        <w:wordWrap/>
        <w:overflowPunct/>
        <w:topLinePunct w:val="0"/>
        <w:autoSpaceDE/>
        <w:autoSpaceDN/>
        <w:bidi w:val="0"/>
        <w:adjustRightInd w:val="0"/>
        <w:snapToGrid/>
        <w:spacing w:line="590" w:lineRule="exact"/>
        <w:ind w:firstLine="632" w:firstLineChars="200"/>
        <w:textAlignment w:val="auto"/>
        <w:rPr>
          <w:rFonts w:hint="eastAsia" w:ascii="楷体_GB2312" w:hAnsi="楷体_GB2312" w:eastAsia="楷体_GB2312" w:cs="楷体_GB2312"/>
          <w:b/>
          <w:bCs/>
          <w:highlight w:val="none"/>
        </w:rPr>
      </w:pPr>
      <w:r>
        <w:rPr>
          <w:rFonts w:hint="eastAsia" w:ascii="楷体_GB2312" w:hAnsi="楷体_GB2312" w:eastAsia="楷体_GB2312" w:cs="楷体_GB2312"/>
          <w:b/>
          <w:bCs/>
          <w:highlight w:val="none"/>
        </w:rPr>
        <w:t>（二）项目绩效目标未完成原因分析</w:t>
      </w:r>
    </w:p>
    <w:p>
      <w:pPr>
        <w:keepNext w:val="0"/>
        <w:keepLines w:val="0"/>
        <w:pageBreakBefore w:val="0"/>
        <w:kinsoku/>
        <w:wordWrap/>
        <w:overflowPunct/>
        <w:topLinePunct w:val="0"/>
        <w:autoSpaceDE/>
        <w:autoSpaceDN/>
        <w:bidi w:val="0"/>
        <w:adjustRightInd w:val="0"/>
        <w:snapToGrid/>
        <w:spacing w:line="590" w:lineRule="exact"/>
        <w:ind w:firstLine="632" w:firstLineChars="200"/>
        <w:textAlignment w:val="auto"/>
        <w:outlineLvl w:val="0"/>
        <w:rPr>
          <w:rFonts w:hint="eastAsia" w:hAnsi="仿宋_GB2312"/>
          <w:color w:val="000000"/>
          <w:kern w:val="0"/>
          <w:highlight w:val="none"/>
        </w:rPr>
      </w:pPr>
      <w:r>
        <w:rPr>
          <w:rFonts w:hint="eastAsia" w:ascii="仿宋_GB2312" w:hAnsi="仿宋_GB2312" w:cs="仿宋_GB2312"/>
          <w:color w:val="000000"/>
          <w:kern w:val="0"/>
          <w:highlight w:val="none"/>
        </w:rPr>
        <w:t>该项目完成情况良好，绩效目标已全部达标。</w:t>
      </w:r>
    </w:p>
    <w:p>
      <w:pPr>
        <w:keepNext w:val="0"/>
        <w:keepLines w:val="0"/>
        <w:pageBreakBefore w:val="0"/>
        <w:kinsoku/>
        <w:wordWrap/>
        <w:overflowPunct/>
        <w:topLinePunct w:val="0"/>
        <w:autoSpaceDE/>
        <w:autoSpaceDN/>
        <w:bidi w:val="0"/>
        <w:adjustRightInd w:val="0"/>
        <w:snapToGrid/>
        <w:spacing w:line="590" w:lineRule="exact"/>
        <w:ind w:firstLine="632" w:firstLineChars="200"/>
        <w:textAlignment w:val="auto"/>
        <w:outlineLvl w:val="0"/>
        <w:rPr>
          <w:rFonts w:ascii="黑体" w:hAnsi="黑体" w:eastAsia="黑体" w:cs="黑体"/>
          <w:bCs/>
          <w:highlight w:val="none"/>
        </w:rPr>
      </w:pPr>
      <w:r>
        <w:rPr>
          <w:rFonts w:hint="eastAsia" w:ascii="黑体" w:hAnsi="黑体" w:eastAsia="黑体" w:cs="黑体"/>
          <w:bCs/>
          <w:highlight w:val="none"/>
        </w:rPr>
        <w:t>五、综合评价情况及评价结论</w:t>
      </w:r>
    </w:p>
    <w:p>
      <w:pPr>
        <w:keepNext w:val="0"/>
        <w:keepLines w:val="0"/>
        <w:pageBreakBefore w:val="0"/>
        <w:kinsoku/>
        <w:wordWrap/>
        <w:overflowPunct/>
        <w:topLinePunct w:val="0"/>
        <w:autoSpaceDE/>
        <w:autoSpaceDN/>
        <w:bidi w:val="0"/>
        <w:adjustRightInd w:val="0"/>
        <w:snapToGrid/>
        <w:spacing w:line="590" w:lineRule="exact"/>
        <w:ind w:firstLine="632" w:firstLineChars="200"/>
        <w:textAlignment w:val="auto"/>
        <w:rPr>
          <w:rFonts w:hAnsi="仿宋_GB2312"/>
          <w:highlight w:val="none"/>
        </w:rPr>
      </w:pPr>
      <w:r>
        <w:rPr>
          <w:rFonts w:hint="eastAsia" w:hAnsi="仿宋_GB2312"/>
          <w:color w:val="000000"/>
          <w:kern w:val="0"/>
          <w:highlight w:val="none"/>
        </w:rPr>
        <w:t>本项目设立依据充分，目标明确，符合我中心工作发展要求。项目实施后，资金到位及时，支出合规合理。项目实现预期目标，取得较好的效益。</w:t>
      </w:r>
      <w:r>
        <w:rPr>
          <w:rFonts w:hint="eastAsia" w:hAnsi="仿宋_GB2312"/>
          <w:highlight w:val="none"/>
        </w:rPr>
        <w:t>经按“项目支出绩效目标自评表”进行综合评分，本项目综合得分</w:t>
      </w:r>
      <w:r>
        <w:rPr>
          <w:rFonts w:hint="eastAsia" w:hAnsi="仿宋_GB2312"/>
          <w:highlight w:val="none"/>
          <w:lang w:val="en-US" w:eastAsia="zh-CN"/>
        </w:rPr>
        <w:t>100</w:t>
      </w:r>
      <w:r>
        <w:rPr>
          <w:rFonts w:hint="eastAsia" w:hAnsi="仿宋_GB2312"/>
          <w:highlight w:val="none"/>
        </w:rPr>
        <w:t>分。各项评分结果见“项目支出</w:t>
      </w:r>
      <w:r>
        <w:rPr>
          <w:rFonts w:hint="eastAsia" w:hAnsi="仿宋_GB2312"/>
          <w:bCs/>
          <w:kern w:val="0"/>
          <w:highlight w:val="none"/>
        </w:rPr>
        <w:t>绩效目标自评</w:t>
      </w:r>
      <w:r>
        <w:rPr>
          <w:rFonts w:hint="eastAsia" w:hAnsi="仿宋_GB2312"/>
          <w:highlight w:val="none"/>
        </w:rPr>
        <w:t>表”。</w:t>
      </w:r>
    </w:p>
    <w:p>
      <w:pPr>
        <w:keepNext w:val="0"/>
        <w:keepLines w:val="0"/>
        <w:pageBreakBefore w:val="0"/>
        <w:kinsoku/>
        <w:wordWrap/>
        <w:overflowPunct/>
        <w:topLinePunct w:val="0"/>
        <w:autoSpaceDE/>
        <w:autoSpaceDN/>
        <w:bidi w:val="0"/>
        <w:adjustRightInd w:val="0"/>
        <w:snapToGrid/>
        <w:spacing w:line="590" w:lineRule="exact"/>
        <w:ind w:firstLine="632" w:firstLineChars="200"/>
        <w:textAlignment w:val="auto"/>
        <w:outlineLvl w:val="0"/>
        <w:rPr>
          <w:rFonts w:ascii="黑体" w:hAnsi="黑体" w:eastAsia="黑体" w:cs="黑体"/>
          <w:bCs/>
          <w:highlight w:val="none"/>
        </w:rPr>
      </w:pPr>
      <w:r>
        <w:rPr>
          <w:rFonts w:hint="eastAsia" w:ascii="黑体" w:hAnsi="黑体" w:eastAsia="黑体" w:cs="黑体"/>
          <w:bCs/>
          <w:highlight w:val="none"/>
        </w:rPr>
        <w:t>六、后继工作计划、主要经验及做法、存在的问题和建议</w:t>
      </w:r>
    </w:p>
    <w:p>
      <w:pPr>
        <w:keepNext w:val="0"/>
        <w:keepLines w:val="0"/>
        <w:pageBreakBefore w:val="0"/>
        <w:kinsoku/>
        <w:wordWrap/>
        <w:overflowPunct/>
        <w:topLinePunct w:val="0"/>
        <w:autoSpaceDE/>
        <w:autoSpaceDN/>
        <w:bidi w:val="0"/>
        <w:adjustRightInd w:val="0"/>
        <w:snapToGrid/>
        <w:spacing w:line="590" w:lineRule="exact"/>
        <w:ind w:firstLine="632" w:firstLineChars="200"/>
        <w:textAlignment w:val="auto"/>
        <w:outlineLvl w:val="0"/>
        <w:rPr>
          <w:rFonts w:hAnsi="仿宋_GB2312"/>
          <w:kern w:val="0"/>
          <w:highlight w:val="none"/>
        </w:rPr>
      </w:pPr>
      <w:r>
        <w:rPr>
          <w:rFonts w:hint="eastAsia" w:hAnsi="仿宋_GB2312"/>
          <w:kern w:val="0"/>
          <w:highlight w:val="none"/>
        </w:rPr>
        <w:t>从本项目实施情况看，整个项目在资金安排、方案设计、系统质量、规范管理和维护等方面均有充分考虑，有效地服务于彩票销售业务，较好地达到项目预期目标，符合福彩销售系统安全运行的长期规划。</w:t>
      </w:r>
    </w:p>
    <w:p>
      <w:pPr>
        <w:keepNext w:val="0"/>
        <w:keepLines w:val="0"/>
        <w:pageBreakBefore w:val="0"/>
        <w:kinsoku/>
        <w:wordWrap/>
        <w:overflowPunct/>
        <w:topLinePunct w:val="0"/>
        <w:autoSpaceDE/>
        <w:autoSpaceDN/>
        <w:bidi w:val="0"/>
        <w:adjustRightInd w:val="0"/>
        <w:snapToGrid/>
        <w:spacing w:line="590" w:lineRule="exact"/>
        <w:ind w:firstLine="632" w:firstLineChars="200"/>
        <w:textAlignment w:val="auto"/>
        <w:outlineLvl w:val="0"/>
        <w:rPr>
          <w:rFonts w:hAnsi="仿宋_GB2312"/>
          <w:kern w:val="0"/>
          <w:highlight w:val="none"/>
        </w:rPr>
      </w:pPr>
    </w:p>
    <w:p>
      <w:pPr>
        <w:keepNext w:val="0"/>
        <w:keepLines w:val="0"/>
        <w:pageBreakBefore w:val="0"/>
        <w:kinsoku/>
        <w:wordWrap/>
        <w:overflowPunct/>
        <w:topLinePunct w:val="0"/>
        <w:autoSpaceDE/>
        <w:autoSpaceDN/>
        <w:bidi w:val="0"/>
        <w:adjustRightInd w:val="0"/>
        <w:snapToGrid/>
        <w:spacing w:line="590" w:lineRule="exact"/>
        <w:ind w:left="1580" w:leftChars="200" w:hanging="948" w:hangingChars="300"/>
        <w:textAlignment w:val="auto"/>
        <w:outlineLvl w:val="0"/>
        <w:rPr>
          <w:rFonts w:hAnsi="仿宋_GB2312"/>
          <w:highlight w:val="none"/>
        </w:rPr>
      </w:pPr>
      <w:r>
        <w:rPr>
          <w:rFonts w:hint="eastAsia" w:hAnsi="仿宋_GB2312"/>
          <w:kern w:val="0"/>
          <w:highlight w:val="none"/>
        </w:rPr>
        <w:t>附件：海南省福利彩票发行中心202</w:t>
      </w:r>
      <w:r>
        <w:rPr>
          <w:rFonts w:hAnsi="仿宋_GB2312"/>
          <w:kern w:val="0"/>
          <w:highlight w:val="none"/>
        </w:rPr>
        <w:t>3</w:t>
      </w:r>
      <w:r>
        <w:rPr>
          <w:rFonts w:hint="eastAsia" w:hAnsi="仿宋_GB2312"/>
          <w:kern w:val="0"/>
          <w:highlight w:val="none"/>
        </w:rPr>
        <w:t>度信息系统运行维护项目支出绩效自评表</w:t>
      </w:r>
    </w:p>
    <w:p>
      <w:pPr>
        <w:keepNext w:val="0"/>
        <w:keepLines w:val="0"/>
        <w:pageBreakBefore w:val="0"/>
        <w:kinsoku/>
        <w:wordWrap/>
        <w:overflowPunct/>
        <w:topLinePunct w:val="0"/>
        <w:autoSpaceDE/>
        <w:autoSpaceDN/>
        <w:bidi w:val="0"/>
        <w:adjustRightInd w:val="0"/>
        <w:snapToGrid/>
        <w:spacing w:line="590" w:lineRule="exact"/>
        <w:textAlignment w:val="auto"/>
        <w:rPr>
          <w:rFonts w:hAnsi="仿宋_GB2312"/>
          <w:highlight w:val="none"/>
        </w:rPr>
      </w:pPr>
    </w:p>
    <w:p>
      <w:pPr>
        <w:keepNext w:val="0"/>
        <w:keepLines w:val="0"/>
        <w:pageBreakBefore w:val="0"/>
        <w:kinsoku/>
        <w:wordWrap/>
        <w:overflowPunct/>
        <w:topLinePunct w:val="0"/>
        <w:autoSpaceDE/>
        <w:autoSpaceDN/>
        <w:bidi w:val="0"/>
        <w:adjustRightInd w:val="0"/>
        <w:snapToGrid/>
        <w:spacing w:line="590" w:lineRule="exact"/>
        <w:ind w:right="1264" w:rightChars="400" w:firstLine="632" w:firstLineChars="200"/>
        <w:textAlignment w:val="auto"/>
        <w:rPr>
          <w:rFonts w:ascii="仿宋_GB2312" w:hAnsi="仿宋_GB2312" w:cs="仿宋_GB2312"/>
          <w:highlight w:val="none"/>
        </w:rPr>
      </w:pPr>
      <w:r>
        <w:rPr>
          <w:rFonts w:hint="eastAsia" w:hAnsi="仿宋_GB2312"/>
          <w:highlight w:val="none"/>
        </w:rPr>
        <w:t xml:space="preserve">                      </w:t>
      </w:r>
      <w:r>
        <w:rPr>
          <w:rFonts w:hint="eastAsia" w:ascii="仿宋_GB2312" w:hAnsi="仿宋_GB2312" w:cs="仿宋_GB2312"/>
          <w:highlight w:val="none"/>
        </w:rPr>
        <w:t>海南省福利彩票发行中心</w:t>
      </w:r>
    </w:p>
    <w:p>
      <w:pPr>
        <w:keepNext w:val="0"/>
        <w:keepLines w:val="0"/>
        <w:pageBreakBefore w:val="0"/>
        <w:kinsoku/>
        <w:wordWrap/>
        <w:overflowPunct/>
        <w:topLinePunct w:val="0"/>
        <w:autoSpaceDE/>
        <w:autoSpaceDN/>
        <w:bidi w:val="0"/>
        <w:adjustRightInd w:val="0"/>
        <w:snapToGrid/>
        <w:spacing w:line="590" w:lineRule="exact"/>
        <w:ind w:firstLine="4740" w:firstLineChars="1500"/>
        <w:textAlignment w:val="auto"/>
        <w:rPr>
          <w:highlight w:val="none"/>
        </w:rPr>
      </w:pPr>
      <w:r>
        <w:rPr>
          <w:rFonts w:hint="eastAsia" w:ascii="仿宋_GB2312" w:hAnsi="仿宋_GB2312" w:cs="仿宋_GB2312"/>
          <w:highlight w:val="none"/>
        </w:rPr>
        <w:t>202</w:t>
      </w:r>
      <w:r>
        <w:rPr>
          <w:rFonts w:ascii="仿宋_GB2312" w:hAnsi="仿宋_GB2312" w:cs="仿宋_GB2312"/>
          <w:highlight w:val="none"/>
        </w:rPr>
        <w:t>4</w:t>
      </w:r>
      <w:r>
        <w:rPr>
          <w:rFonts w:hint="eastAsia" w:ascii="仿宋_GB2312" w:hAnsi="仿宋_GB2312" w:cs="仿宋_GB2312"/>
          <w:highlight w:val="none"/>
        </w:rPr>
        <w:t>年</w:t>
      </w:r>
      <w:r>
        <w:rPr>
          <w:rFonts w:hint="eastAsia" w:ascii="仿宋_GB2312" w:hAnsi="仿宋_GB2312" w:cs="仿宋_GB2312"/>
          <w:highlight w:val="none"/>
          <w:lang w:val="en-US" w:eastAsia="zh-CN"/>
        </w:rPr>
        <w:t>4</w:t>
      </w:r>
      <w:r>
        <w:rPr>
          <w:rFonts w:hint="eastAsia" w:ascii="仿宋_GB2312" w:hAnsi="仿宋_GB2312" w:cs="仿宋_GB2312"/>
          <w:highlight w:val="none"/>
        </w:rPr>
        <w:t>月</w:t>
      </w:r>
      <w:r>
        <w:rPr>
          <w:rFonts w:hint="eastAsia" w:ascii="仿宋_GB2312" w:hAnsi="仿宋_GB2312" w:cs="仿宋_GB2312"/>
          <w:highlight w:val="none"/>
          <w:lang w:val="en-US" w:eastAsia="zh-CN"/>
        </w:rPr>
        <w:t>28</w:t>
      </w:r>
      <w:r>
        <w:rPr>
          <w:rFonts w:hint="eastAsia" w:ascii="仿宋_GB2312" w:hAnsi="仿宋_GB2312" w:cs="仿宋_GB2312"/>
          <w:highlight w:val="none"/>
        </w:rPr>
        <w:t>日</w:t>
      </w:r>
    </w:p>
    <w:sectPr>
      <w:footerReference r:id="rId3" w:type="default"/>
      <w:pgSz w:w="11906" w:h="16838"/>
      <w:pgMar w:top="1418" w:right="1531" w:bottom="1418" w:left="1531" w:header="851" w:footer="907" w:gutter="0"/>
      <w:pgNumType w:fmt="numberInDash"/>
      <w:cols w:space="720" w:num="1"/>
      <w:docGrid w:type="linesAndChars" w:linePitch="634"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
                          </w:pPr>
                          <w:r>
                            <w:fldChar w:fldCharType="begin"/>
                          </w:r>
                          <w:r>
                            <w:instrText xml:space="preserve"> PAGE  \* MERGEFORMAT </w:instrText>
                          </w:r>
                          <w:r>
                            <w:fldChar w:fldCharType="separate"/>
                          </w:r>
                          <w:r>
                            <w:t>- 2 -</w:t>
                          </w:r>
                          <w:r>
                            <w:fldChar w:fldCharType="end"/>
                          </w:r>
                        </w:p>
                      </w:txbxContent>
                    </wps:txbx>
                    <wps:bodyPr vert="horz" wrap="none" lIns="0" tIns="0" rIns="0" bIns="0" anchor="t" anchorCtr="0">
                      <a:spAutoFit/>
                    </wps:bodyPr>
                  </wps:wsp>
                </a:graphicData>
              </a:graphic>
            </wp:anchor>
          </w:drawing>
        </mc:Choice>
        <mc:Fallback>
          <w:pict>
            <v:shape id="文本框 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GhpgkvTAAAABQEAAA8AAAAA&#10;AAAAAQAgAAAAIgAAAGRycy9kb3ducmV2LnhtbFBLAQIUABQAAAAIAIdO4kB+WkiL4AEAALwDAAAO&#10;AAAAAAAAAAEAIAAAACIBAABkcnMvZTJvRG9jLnhtbFBLBQYAAAAABgAGAFkBAAB0BQAAAAA=&#10;">
              <v:fill on="f" focussize="0,0"/>
              <v:stroke on="f" weight="1.25pt"/>
              <v:imagedata o:title=""/>
              <o:lock v:ext="edit" aspectratio="f"/>
              <v:textbox inset="0mm,0mm,0mm,0mm" style="mso-fit-shape-to-text:t;">
                <w:txbxContent>
                  <w:p>
                    <w:pPr>
                      <w:pStyle w:val="2"/>
                    </w:pPr>
                    <w:r>
                      <w:fldChar w:fldCharType="begin"/>
                    </w:r>
                    <w:r>
                      <w:instrText xml:space="preserve"> PAGE  \* MERGEFORMAT </w:instrText>
                    </w:r>
                    <w:r>
                      <w:fldChar w:fldCharType="separate"/>
                    </w:r>
                    <w:r>
                      <w:t>- 2 -</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317"/>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5NWEzYzgxODNjZDA5OTBkMTQyZmMyMmQzNmY4OWIifQ=="/>
  </w:docVars>
  <w:rsids>
    <w:rsidRoot w:val="00172A27"/>
    <w:rsid w:val="00065E15"/>
    <w:rsid w:val="00172A27"/>
    <w:rsid w:val="00230CBE"/>
    <w:rsid w:val="004F6460"/>
    <w:rsid w:val="005400F0"/>
    <w:rsid w:val="005701DD"/>
    <w:rsid w:val="00597C9A"/>
    <w:rsid w:val="00666D7B"/>
    <w:rsid w:val="00671316"/>
    <w:rsid w:val="00716DAF"/>
    <w:rsid w:val="007D6B5F"/>
    <w:rsid w:val="007E6435"/>
    <w:rsid w:val="008732C8"/>
    <w:rsid w:val="008C733A"/>
    <w:rsid w:val="00960F1A"/>
    <w:rsid w:val="009856CC"/>
    <w:rsid w:val="00A0432D"/>
    <w:rsid w:val="00A32062"/>
    <w:rsid w:val="00BB5883"/>
    <w:rsid w:val="00BF14A3"/>
    <w:rsid w:val="00CA2E1B"/>
    <w:rsid w:val="00CC6C1C"/>
    <w:rsid w:val="00D22C5D"/>
    <w:rsid w:val="00E65BFE"/>
    <w:rsid w:val="00EA3783"/>
    <w:rsid w:val="00EC291B"/>
    <w:rsid w:val="00F2057C"/>
    <w:rsid w:val="00F77CF6"/>
    <w:rsid w:val="00FA2DB1"/>
    <w:rsid w:val="01371541"/>
    <w:rsid w:val="013B0FBB"/>
    <w:rsid w:val="01D75D11"/>
    <w:rsid w:val="01E7687A"/>
    <w:rsid w:val="025475F3"/>
    <w:rsid w:val="035220F0"/>
    <w:rsid w:val="062104AC"/>
    <w:rsid w:val="07BE784F"/>
    <w:rsid w:val="087475DC"/>
    <w:rsid w:val="08EE04EE"/>
    <w:rsid w:val="09694018"/>
    <w:rsid w:val="10D1026A"/>
    <w:rsid w:val="11D66E2F"/>
    <w:rsid w:val="17626AFB"/>
    <w:rsid w:val="195E1E65"/>
    <w:rsid w:val="19D03549"/>
    <w:rsid w:val="1B5633DF"/>
    <w:rsid w:val="1C3530BD"/>
    <w:rsid w:val="1CA8672D"/>
    <w:rsid w:val="1E214AC1"/>
    <w:rsid w:val="1E990ED2"/>
    <w:rsid w:val="23A10B26"/>
    <w:rsid w:val="259C2956"/>
    <w:rsid w:val="27CE1286"/>
    <w:rsid w:val="2AC43422"/>
    <w:rsid w:val="2D0F5FD4"/>
    <w:rsid w:val="2D401E5C"/>
    <w:rsid w:val="2EFC6BF4"/>
    <w:rsid w:val="2FBE156F"/>
    <w:rsid w:val="2FCB7EFE"/>
    <w:rsid w:val="30AC1B4C"/>
    <w:rsid w:val="31036B1A"/>
    <w:rsid w:val="314F06F2"/>
    <w:rsid w:val="33621A44"/>
    <w:rsid w:val="338B2C59"/>
    <w:rsid w:val="36A225BE"/>
    <w:rsid w:val="36CB42FC"/>
    <w:rsid w:val="38F021B5"/>
    <w:rsid w:val="39581A51"/>
    <w:rsid w:val="399F745E"/>
    <w:rsid w:val="3BC62233"/>
    <w:rsid w:val="3E196224"/>
    <w:rsid w:val="40FB1B18"/>
    <w:rsid w:val="414F211A"/>
    <w:rsid w:val="443C17FD"/>
    <w:rsid w:val="44AB7064"/>
    <w:rsid w:val="44B67536"/>
    <w:rsid w:val="47C8416B"/>
    <w:rsid w:val="48CD1D3A"/>
    <w:rsid w:val="48F57DFF"/>
    <w:rsid w:val="4AC25E92"/>
    <w:rsid w:val="4B4F7607"/>
    <w:rsid w:val="4B92472D"/>
    <w:rsid w:val="4BE8259F"/>
    <w:rsid w:val="4E2C6835"/>
    <w:rsid w:val="530C3B76"/>
    <w:rsid w:val="55A52171"/>
    <w:rsid w:val="56A143BE"/>
    <w:rsid w:val="57463A80"/>
    <w:rsid w:val="57866245"/>
    <w:rsid w:val="58340433"/>
    <w:rsid w:val="5A0E6479"/>
    <w:rsid w:val="5BD12136"/>
    <w:rsid w:val="5D7C348F"/>
    <w:rsid w:val="5F187F74"/>
    <w:rsid w:val="5F570F24"/>
    <w:rsid w:val="625252A0"/>
    <w:rsid w:val="62625B11"/>
    <w:rsid w:val="642A77A1"/>
    <w:rsid w:val="65575465"/>
    <w:rsid w:val="66854BBC"/>
    <w:rsid w:val="67896ED4"/>
    <w:rsid w:val="69283493"/>
    <w:rsid w:val="6A0E2D81"/>
    <w:rsid w:val="6A661423"/>
    <w:rsid w:val="6A8D5333"/>
    <w:rsid w:val="6F390524"/>
    <w:rsid w:val="6F8F7135"/>
    <w:rsid w:val="71C83711"/>
    <w:rsid w:val="73947426"/>
    <w:rsid w:val="74533197"/>
    <w:rsid w:val="760F59CA"/>
    <w:rsid w:val="77026B12"/>
    <w:rsid w:val="778C6933"/>
    <w:rsid w:val="77D320A6"/>
    <w:rsid w:val="7A965738"/>
    <w:rsid w:val="7BDD6DBE"/>
    <w:rsid w:val="7D0A23BD"/>
    <w:rsid w:val="7D0C00EB"/>
    <w:rsid w:val="7FED75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4"/>
      <w:lang w:val="en-US" w:eastAsia="zh-CN" w:bidi="ar-SA"/>
    </w:rPr>
  </w:style>
  <w:style w:type="character" w:default="1" w:styleId="7">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 w:type="paragraph" w:styleId="3">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0"/>
    <w:pPr>
      <w:spacing w:before="100" w:beforeAutospacing="1" w:after="100" w:afterAutospacing="1"/>
      <w:jc w:val="left"/>
    </w:pPr>
    <w:rPr>
      <w:kern w:val="0"/>
      <w:sz w:val="24"/>
    </w:rPr>
  </w:style>
  <w:style w:type="table" w:styleId="6">
    <w:name w:val="Table Grid"/>
    <w:basedOn w:val="5"/>
    <w:autoRedefine/>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autoRedefine/>
    <w:qFormat/>
    <w:uiPriority w:val="22"/>
    <w:rPr>
      <w:b/>
    </w:rPr>
  </w:style>
  <w:style w:type="character" w:styleId="9">
    <w:name w:val="page number"/>
    <w:basedOn w:val="7"/>
    <w:autoRedefine/>
    <w:qFormat/>
    <w:uiPriority w:val="0"/>
  </w:style>
  <w:style w:type="paragraph" w:customStyle="1" w:styleId="10">
    <w:name w:val="Char Char Char Char Char Char Char Char Char Char Char Char Char Char Char Char"/>
    <w:basedOn w:val="1"/>
    <w:autoRedefine/>
    <w:qFormat/>
    <w:uiPriority w:val="0"/>
    <w:pPr>
      <w:widowControl/>
      <w:spacing w:after="160" w:line="240" w:lineRule="exact"/>
      <w:jc w:val="left"/>
    </w:pPr>
    <w:rPr>
      <w:rFonts w:eastAsia="宋体"/>
      <w:sz w:val="21"/>
      <w:szCs w:val="20"/>
    </w:rPr>
  </w:style>
  <w:style w:type="character" w:customStyle="1" w:styleId="11">
    <w:name w:val="NormalCharacter"/>
    <w:autoRedefine/>
    <w:qFormat/>
    <w:uiPriority w:val="0"/>
  </w:style>
  <w:style w:type="paragraph" w:customStyle="1" w:styleId="12">
    <w:name w:val="列出段落1"/>
    <w:basedOn w:val="1"/>
    <w:autoRedefine/>
    <w:qFormat/>
    <w:uiPriority w:val="34"/>
    <w:pPr>
      <w:ind w:firstLine="420" w:firstLineChars="200"/>
    </w:pPr>
    <w:rPr>
      <w:rFonts w:eastAsia="宋体"/>
    </w:rPr>
  </w:style>
  <w:style w:type="paragraph" w:customStyle="1" w:styleId="13">
    <w:name w:val="列表段落1"/>
    <w:basedOn w:val="1"/>
    <w:autoRedefine/>
    <w:qFormat/>
    <w:uiPriority w:val="34"/>
    <w:pPr>
      <w:ind w:firstLine="420" w:firstLineChars="200"/>
    </w:pPr>
    <w:rPr>
      <w:rFonts w:eastAsia="宋体"/>
      <w:sz w:val="21"/>
    </w:rPr>
  </w:style>
  <w:style w:type="paragraph" w:customStyle="1" w:styleId="14">
    <w:name w:val="Char"/>
    <w:basedOn w:val="1"/>
    <w:autoRedefine/>
    <w:qFormat/>
    <w:uiPriority w:val="0"/>
    <w:pPr>
      <w:widowControl/>
      <w:spacing w:after="160" w:line="240" w:lineRule="exact"/>
      <w:jc w:val="left"/>
    </w:pPr>
    <w:rPr>
      <w:rFonts w:eastAsia="宋体"/>
      <w:sz w:val="21"/>
      <w:szCs w:val="20"/>
    </w:rPr>
  </w:style>
  <w:style w:type="paragraph" w:customStyle="1" w:styleId="15">
    <w:name w:val="正文内容"/>
    <w:basedOn w:val="1"/>
    <w:autoRedefine/>
    <w:qFormat/>
    <w:uiPriority w:val="0"/>
    <w:pPr>
      <w:spacing w:line="578" w:lineRule="exact"/>
      <w:ind w:firstLine="200" w:firstLineChars="200"/>
    </w:pPr>
    <w:rPr>
      <w:color w:val="000000"/>
    </w:rPr>
  </w:style>
  <w:style w:type="paragraph" w:customStyle="1" w:styleId="16">
    <w:name w:val="msonospacing"/>
    <w:basedOn w:val="1"/>
    <w:autoRedefine/>
    <w:qFormat/>
    <w:uiPriority w:val="0"/>
    <w:pPr>
      <w:widowControl/>
      <w:ind w:firstLine="200" w:firstLineChars="200"/>
      <w:jc w:val="left"/>
    </w:pPr>
    <w:rPr>
      <w:rFonts w:ascii="Times New Roman" w:hAnsi="Times New Roman"/>
      <w:kern w:val="0"/>
      <w:sz w:val="30"/>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7</Pages>
  <Words>2922</Words>
  <Characters>3138</Characters>
  <Lines>21</Lines>
  <Paragraphs>6</Paragraphs>
  <TotalTime>3</TotalTime>
  <ScaleCrop>false</ScaleCrop>
  <LinksUpToDate>false</LinksUpToDate>
  <CharactersWithSpaces>3161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2013-06-27T03:10:00Z</dcterms:created>
  <dc:creator>Legend User</dc:creator>
  <cp:lastModifiedBy>小吉</cp:lastModifiedBy>
  <cp:lastPrinted>2023-03-21T08:51:00Z</cp:lastPrinted>
  <dcterms:modified xsi:type="dcterms:W3CDTF">2024-04-28T08:09:01Z</dcterms:modified>
  <dc:title>关于报送海南省2008-2012年革命老区投资项目规划的函</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CFADB34F978C4283A7AD7620F65E8F73_13</vt:lpwstr>
  </property>
</Properties>
</file>