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3" w:rsidRPr="00AD0745" w:rsidRDefault="00924F73" w:rsidP="00AD0745">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7216"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1C5931" w:rsidRDefault="001C5931" w:rsidP="00450B63">
      <w:pPr>
        <w:spacing w:line="600" w:lineRule="exact"/>
        <w:jc w:val="center"/>
        <w:rPr>
          <w:rFonts w:asciiTheme="minorEastAsia" w:hAnsiTheme="minorEastAsia" w:cstheme="minorEastAsia"/>
          <w:sz w:val="44"/>
          <w:szCs w:val="44"/>
        </w:rPr>
      </w:pPr>
    </w:p>
    <w:p w:rsidR="00450B63" w:rsidRPr="00450B63" w:rsidRDefault="00450B63" w:rsidP="00450B63">
      <w:pPr>
        <w:spacing w:line="600" w:lineRule="exact"/>
        <w:jc w:val="center"/>
        <w:rPr>
          <w:rFonts w:asciiTheme="minorEastAsia" w:hAnsiTheme="minorEastAsia" w:cstheme="minorEastAsia"/>
          <w:sz w:val="44"/>
          <w:szCs w:val="44"/>
        </w:rPr>
      </w:pPr>
      <w:r w:rsidRPr="00450B63">
        <w:rPr>
          <w:rFonts w:asciiTheme="minorEastAsia" w:hAnsiTheme="minorEastAsia" w:cstheme="minorEastAsia" w:hint="eastAsia"/>
          <w:sz w:val="44"/>
          <w:szCs w:val="44"/>
        </w:rPr>
        <w:t>海南省人民政府</w:t>
      </w:r>
    </w:p>
    <w:p w:rsidR="00450B63" w:rsidRPr="00450B63" w:rsidRDefault="00450B63" w:rsidP="00450B63">
      <w:pPr>
        <w:spacing w:line="600" w:lineRule="exact"/>
        <w:jc w:val="center"/>
        <w:rPr>
          <w:rFonts w:asciiTheme="minorEastAsia" w:hAnsiTheme="minorEastAsia" w:cstheme="minorEastAsia"/>
          <w:sz w:val="44"/>
          <w:szCs w:val="44"/>
        </w:rPr>
      </w:pPr>
      <w:r w:rsidRPr="00450B63">
        <w:rPr>
          <w:rFonts w:asciiTheme="minorEastAsia" w:hAnsiTheme="minorEastAsia" w:cstheme="minorEastAsia" w:hint="eastAsia"/>
          <w:sz w:val="44"/>
          <w:szCs w:val="44"/>
        </w:rPr>
        <w:t>关于委托实施部分省级行政审批事项的决定</w:t>
      </w:r>
    </w:p>
    <w:p w:rsidR="00450B63" w:rsidRPr="00450B63" w:rsidRDefault="00450B63" w:rsidP="00450B63">
      <w:pPr>
        <w:spacing w:line="600" w:lineRule="exact"/>
        <w:ind w:firstLineChars="200" w:firstLine="640"/>
        <w:rPr>
          <w:rFonts w:ascii="楷体_GB2312" w:eastAsia="楷体_GB2312" w:hAnsi="楷体_GB2312" w:cs="楷体_GB2312"/>
          <w:color w:val="333333"/>
          <w:sz w:val="32"/>
          <w:szCs w:val="32"/>
          <w:shd w:val="clear" w:color="auto" w:fill="FFFFFF"/>
        </w:rPr>
      </w:pPr>
      <w:r w:rsidRPr="00AD0745">
        <w:rPr>
          <w:rFonts w:ascii="楷体_GB2312" w:eastAsia="楷体_GB2312" w:hAnsi="楷体_GB2312" w:cs="楷体_GB2312"/>
          <w:color w:val="333333"/>
          <w:sz w:val="32"/>
          <w:szCs w:val="32"/>
          <w:shd w:val="clear" w:color="auto" w:fill="FFFFFF"/>
        </w:rPr>
        <w:t>(2022年6月13日七届海南省人民政府第103次常务会议审议通过 2022年7月8日海南省人民政府令第306号公布)</w:t>
      </w:r>
    </w:p>
    <w:p w:rsidR="00AD0745" w:rsidRDefault="00AD0745" w:rsidP="00450B63">
      <w:pPr>
        <w:spacing w:line="600" w:lineRule="exact"/>
        <w:ind w:firstLineChars="200" w:firstLine="600"/>
        <w:rPr>
          <w:rFonts w:ascii="仿宋_GB2312" w:eastAsia="仿宋_GB2312" w:hAnsi="Times New Roman" w:cs="Times New Roman"/>
          <w:sz w:val="30"/>
          <w:szCs w:val="30"/>
        </w:rPr>
      </w:pPr>
    </w:p>
    <w:p w:rsidR="004B59E1" w:rsidRDefault="00450B63" w:rsidP="004B59E1">
      <w:pPr>
        <w:spacing w:line="600" w:lineRule="exact"/>
        <w:ind w:firstLineChars="200" w:firstLine="640"/>
        <w:rPr>
          <w:rFonts w:ascii="仿宋_GB2312" w:eastAsia="仿宋_GB2312" w:hAnsi="仿宋_GB2312" w:cs="仿宋_GB2312" w:hint="eastAsia"/>
          <w:color w:val="333333"/>
          <w:sz w:val="32"/>
          <w:szCs w:val="32"/>
          <w:shd w:val="clear" w:color="auto" w:fill="FFFFFF"/>
        </w:rPr>
      </w:pPr>
      <w:r w:rsidRPr="00450B63">
        <w:rPr>
          <w:rFonts w:ascii="仿宋_GB2312" w:eastAsia="仿宋_GB2312" w:hAnsi="仿宋_GB2312" w:cs="仿宋_GB2312"/>
          <w:color w:val="333333"/>
          <w:sz w:val="32"/>
          <w:szCs w:val="32"/>
          <w:shd w:val="clear" w:color="auto" w:fill="FFFFFF"/>
        </w:rPr>
        <w:t>为深入贯彻落实党中央、国务院关于深化“放管服”改革精神，推动海南自由贸易港建设，根据相关法律法规，省政府决定将部分省级行政审批事项委托各市、县、自治县人民政府及其相关部门实施（事项清单附后）。对调整委托实施的行政审批事项，</w:t>
      </w:r>
      <w:proofErr w:type="gramStart"/>
      <w:r w:rsidRPr="00450B63">
        <w:rPr>
          <w:rFonts w:ascii="仿宋_GB2312" w:eastAsia="仿宋_GB2312" w:hAnsi="仿宋_GB2312" w:cs="仿宋_GB2312"/>
          <w:color w:val="333333"/>
          <w:sz w:val="32"/>
          <w:szCs w:val="32"/>
          <w:shd w:val="clear" w:color="auto" w:fill="FFFFFF"/>
        </w:rPr>
        <w:t>原实施</w:t>
      </w:r>
      <w:proofErr w:type="gramEnd"/>
      <w:r w:rsidRPr="00450B63">
        <w:rPr>
          <w:rFonts w:ascii="仿宋_GB2312" w:eastAsia="仿宋_GB2312" w:hAnsi="仿宋_GB2312" w:cs="仿宋_GB2312"/>
          <w:color w:val="333333"/>
          <w:sz w:val="32"/>
          <w:szCs w:val="32"/>
          <w:shd w:val="clear" w:color="auto" w:fill="FFFFFF"/>
        </w:rPr>
        <w:t>机关应当加强业务培训指导，强化事中事后监管，做到放管结合，并应当刻制和授权承接机关使用审批印章。承接机关应当周密组织，做好各方面的部署和安排，做到规范有序，防止出现管理真空。</w:t>
      </w:r>
      <w:proofErr w:type="gramStart"/>
      <w:r w:rsidRPr="00450B63">
        <w:rPr>
          <w:rFonts w:ascii="仿宋_GB2312" w:eastAsia="仿宋_GB2312" w:hAnsi="仿宋_GB2312" w:cs="仿宋_GB2312"/>
          <w:color w:val="333333"/>
          <w:sz w:val="32"/>
          <w:szCs w:val="32"/>
          <w:shd w:val="clear" w:color="auto" w:fill="FFFFFF"/>
        </w:rPr>
        <w:t>原实施</w:t>
      </w:r>
      <w:proofErr w:type="gramEnd"/>
      <w:r w:rsidRPr="00450B63">
        <w:rPr>
          <w:rFonts w:ascii="仿宋_GB2312" w:eastAsia="仿宋_GB2312" w:hAnsi="仿宋_GB2312" w:cs="仿宋_GB2312"/>
          <w:color w:val="333333"/>
          <w:sz w:val="32"/>
          <w:szCs w:val="32"/>
          <w:shd w:val="clear" w:color="auto" w:fill="FFFFFF"/>
        </w:rPr>
        <w:t>机关应当适时对委托实施事项进行评估，经评估施行效果不好的，及时收回委托事项。</w:t>
      </w:r>
    </w:p>
    <w:p w:rsidR="00450B63" w:rsidRPr="00450B63" w:rsidRDefault="00450B63" w:rsidP="00450B63">
      <w:pPr>
        <w:spacing w:line="600" w:lineRule="exact"/>
        <w:ind w:firstLineChars="200" w:firstLine="640"/>
        <w:rPr>
          <w:rFonts w:ascii="仿宋_GB2312" w:eastAsia="仿宋_GB2312" w:hAnsi="仿宋_GB2312" w:cs="仿宋_GB2312"/>
          <w:color w:val="333333"/>
          <w:sz w:val="32"/>
          <w:szCs w:val="32"/>
          <w:shd w:val="clear" w:color="auto" w:fill="FFFFFF"/>
        </w:rPr>
      </w:pPr>
      <w:r w:rsidRPr="00450B63">
        <w:rPr>
          <w:rFonts w:ascii="仿宋_GB2312" w:eastAsia="仿宋_GB2312" w:hAnsi="仿宋_GB2312" w:cs="仿宋_GB2312"/>
          <w:color w:val="333333"/>
          <w:sz w:val="32"/>
          <w:szCs w:val="32"/>
          <w:shd w:val="clear" w:color="auto" w:fill="FFFFFF"/>
        </w:rPr>
        <w:t>本决定自公布之日起施行。</w:t>
      </w:r>
    </w:p>
    <w:p w:rsidR="00450B63" w:rsidRDefault="00450B63" w:rsidP="00450B63">
      <w:pPr>
        <w:spacing w:line="600" w:lineRule="exact"/>
        <w:ind w:firstLineChars="200" w:firstLine="640"/>
        <w:rPr>
          <w:rFonts w:ascii="仿宋_GB2312" w:eastAsia="仿宋_GB2312" w:hAnsi="仿宋_GB2312" w:cs="仿宋_GB2312"/>
          <w:color w:val="333333"/>
          <w:sz w:val="32"/>
          <w:szCs w:val="32"/>
          <w:shd w:val="clear" w:color="auto" w:fill="FFFFFF"/>
        </w:rPr>
      </w:pPr>
    </w:p>
    <w:p w:rsidR="00450B63" w:rsidRDefault="00450B63" w:rsidP="004B59E1">
      <w:pPr>
        <w:spacing w:line="600" w:lineRule="exact"/>
        <w:ind w:firstLineChars="200" w:firstLine="640"/>
        <w:rPr>
          <w:rFonts w:ascii="仿宋_GB2312" w:eastAsia="仿宋_GB2312" w:hAnsi="仿宋_GB2312" w:cs="仿宋_GB2312"/>
          <w:color w:val="333333"/>
          <w:sz w:val="32"/>
          <w:szCs w:val="32"/>
          <w:shd w:val="clear" w:color="auto" w:fill="FFFFFF"/>
        </w:rPr>
      </w:pPr>
      <w:r w:rsidRPr="00450B63">
        <w:rPr>
          <w:rFonts w:ascii="仿宋_GB2312" w:eastAsia="仿宋_GB2312" w:hAnsi="仿宋_GB2312" w:cs="仿宋_GB2312"/>
          <w:color w:val="333333"/>
          <w:sz w:val="32"/>
          <w:szCs w:val="32"/>
          <w:shd w:val="clear" w:color="auto" w:fill="FFFFFF"/>
        </w:rPr>
        <w:t>附件：海南省人民政府决定委托实施的</w:t>
      </w:r>
      <w:r w:rsidRPr="00450B63">
        <w:rPr>
          <w:rFonts w:ascii="仿宋_GB2312" w:eastAsia="仿宋_GB2312" w:hAnsi="仿宋_GB2312" w:cs="仿宋_GB2312" w:hint="eastAsia"/>
          <w:color w:val="333333"/>
          <w:sz w:val="32"/>
          <w:szCs w:val="32"/>
          <w:shd w:val="clear" w:color="auto" w:fill="FFFFFF"/>
        </w:rPr>
        <w:t>部分</w:t>
      </w:r>
      <w:r w:rsidRPr="00450B63">
        <w:rPr>
          <w:rFonts w:ascii="仿宋_GB2312" w:eastAsia="仿宋_GB2312" w:hAnsi="仿宋_GB2312" w:cs="仿宋_GB2312"/>
          <w:color w:val="333333"/>
          <w:sz w:val="32"/>
          <w:szCs w:val="32"/>
          <w:shd w:val="clear" w:color="auto" w:fill="FFFFFF"/>
        </w:rPr>
        <w:t>省级行政审批事项清单</w:t>
      </w:r>
    </w:p>
    <w:p w:rsidR="004B59E1" w:rsidRPr="004B59E1" w:rsidRDefault="004B59E1" w:rsidP="004B59E1">
      <w:pPr>
        <w:pStyle w:val="a8"/>
        <w:widowControl/>
        <w:spacing w:line="560" w:lineRule="exact"/>
        <w:rPr>
          <w:rFonts w:ascii="仿宋_GB2312" w:eastAsia="仿宋_GB2312" w:hAnsi="仿宋_GB2312" w:cs="仿宋_GB2312"/>
          <w:color w:val="333333"/>
          <w:kern w:val="2"/>
          <w:sz w:val="32"/>
          <w:szCs w:val="32"/>
          <w:shd w:val="clear" w:color="auto" w:fill="FFFFFF"/>
        </w:rPr>
      </w:pPr>
    </w:p>
    <w:p w:rsidR="004B59E1" w:rsidRPr="004B59E1" w:rsidRDefault="004B59E1" w:rsidP="004B59E1">
      <w:pPr>
        <w:pStyle w:val="a8"/>
        <w:widowControl/>
        <w:spacing w:line="560" w:lineRule="exact"/>
        <w:rPr>
          <w:rFonts w:ascii="仿宋_GB2312" w:eastAsia="仿宋_GB2312" w:hAnsi="仿宋_GB2312" w:cs="仿宋_GB2312" w:hint="eastAsia"/>
          <w:color w:val="333333"/>
          <w:kern w:val="2"/>
          <w:sz w:val="32"/>
          <w:szCs w:val="32"/>
          <w:shd w:val="clear" w:color="auto" w:fill="FFFFFF"/>
        </w:rPr>
      </w:pPr>
      <w:r w:rsidRPr="004B59E1">
        <w:rPr>
          <w:rFonts w:ascii="仿宋_GB2312" w:eastAsia="仿宋_GB2312" w:hAnsi="仿宋_GB2312" w:cs="仿宋_GB2312" w:hint="eastAsia"/>
          <w:b/>
          <w:color w:val="333333"/>
          <w:kern w:val="2"/>
          <w:sz w:val="32"/>
          <w:szCs w:val="32"/>
          <w:shd w:val="clear" w:color="auto" w:fill="FFFFFF"/>
        </w:rPr>
        <w:t>附件</w:t>
      </w:r>
    </w:p>
    <w:p w:rsidR="004B59E1" w:rsidRPr="004B59E1" w:rsidRDefault="004B59E1" w:rsidP="004B59E1">
      <w:pPr>
        <w:pStyle w:val="a8"/>
        <w:widowControl/>
        <w:spacing w:line="560" w:lineRule="exact"/>
        <w:jc w:val="center"/>
        <w:rPr>
          <w:rFonts w:ascii="仿宋_GB2312" w:eastAsia="仿宋_GB2312" w:hAnsi="仿宋_GB2312" w:cs="仿宋_GB2312" w:hint="eastAsia"/>
          <w:b/>
          <w:color w:val="333333"/>
          <w:kern w:val="2"/>
          <w:sz w:val="32"/>
          <w:szCs w:val="32"/>
          <w:shd w:val="clear" w:color="auto" w:fill="FFFFFF"/>
        </w:rPr>
      </w:pPr>
      <w:r w:rsidRPr="004B59E1">
        <w:rPr>
          <w:rFonts w:ascii="仿宋_GB2312" w:eastAsia="仿宋_GB2312" w:hAnsi="仿宋_GB2312" w:cs="仿宋_GB2312" w:hint="eastAsia"/>
          <w:b/>
          <w:color w:val="333333"/>
          <w:kern w:val="2"/>
          <w:sz w:val="32"/>
          <w:szCs w:val="32"/>
          <w:shd w:val="clear" w:color="auto" w:fill="FFFFFF"/>
        </w:rPr>
        <w:t>海南省人民政府决定委托实施的部分省级</w:t>
      </w:r>
    </w:p>
    <w:p w:rsidR="004B59E1" w:rsidRPr="004B59E1" w:rsidRDefault="004B59E1" w:rsidP="004B59E1">
      <w:pPr>
        <w:pStyle w:val="a8"/>
        <w:widowControl/>
        <w:spacing w:after="156" w:line="560" w:lineRule="exact"/>
        <w:jc w:val="center"/>
        <w:rPr>
          <w:rFonts w:ascii="仿宋_GB2312" w:eastAsia="仿宋_GB2312" w:hAnsi="仿宋_GB2312" w:cs="仿宋_GB2312" w:hint="eastAsia"/>
          <w:b/>
          <w:color w:val="333333"/>
          <w:kern w:val="2"/>
          <w:sz w:val="32"/>
          <w:szCs w:val="32"/>
          <w:shd w:val="clear" w:color="auto" w:fill="FFFFFF"/>
        </w:rPr>
      </w:pPr>
      <w:r w:rsidRPr="004B59E1">
        <w:rPr>
          <w:rFonts w:ascii="仿宋_GB2312" w:eastAsia="仿宋_GB2312" w:hAnsi="仿宋_GB2312" w:cs="仿宋_GB2312" w:hint="eastAsia"/>
          <w:b/>
          <w:color w:val="333333"/>
          <w:kern w:val="2"/>
          <w:sz w:val="32"/>
          <w:szCs w:val="32"/>
          <w:shd w:val="clear" w:color="auto" w:fill="FFFFFF"/>
        </w:rPr>
        <w:t>行政审批事项清单</w:t>
      </w:r>
      <w:bookmarkStart w:id="0" w:name="_GoBack"/>
      <w:bookmarkEnd w:id="0"/>
    </w:p>
    <w:tbl>
      <w:tblPr>
        <w:tblW w:w="4807" w:type="pct"/>
        <w:jc w:val="center"/>
        <w:tblCellMar>
          <w:left w:w="28" w:type="dxa"/>
          <w:right w:w="28" w:type="dxa"/>
        </w:tblCellMar>
        <w:tblLook w:val="0000" w:firstRow="0" w:lastRow="0" w:firstColumn="0" w:lastColumn="0" w:noHBand="0" w:noVBand="0"/>
      </w:tblPr>
      <w:tblGrid>
        <w:gridCol w:w="565"/>
        <w:gridCol w:w="2288"/>
        <w:gridCol w:w="1769"/>
        <w:gridCol w:w="1668"/>
        <w:gridCol w:w="1417"/>
        <w:gridCol w:w="850"/>
      </w:tblGrid>
      <w:tr w:rsidR="000F39BA" w:rsidRPr="002173ED" w:rsidTr="002173ED">
        <w:trPr>
          <w:trHeight w:val="56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序号</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事项名称</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proofErr w:type="gramStart"/>
            <w:r w:rsidRPr="004B59E1">
              <w:rPr>
                <w:rFonts w:ascii="仿宋_GB2312" w:eastAsia="仿宋_GB2312" w:hAnsi="仿宋_GB2312" w:cs="仿宋_GB2312" w:hint="eastAsia"/>
                <w:color w:val="333333"/>
                <w:sz w:val="28"/>
                <w:szCs w:val="28"/>
                <w:shd w:val="clear" w:color="auto" w:fill="FFFFFF"/>
              </w:rPr>
              <w:t>原实施</w:t>
            </w:r>
            <w:proofErr w:type="gramEnd"/>
            <w:r w:rsidRPr="004B59E1">
              <w:rPr>
                <w:rFonts w:ascii="仿宋_GB2312" w:eastAsia="仿宋_GB2312" w:hAnsi="仿宋_GB2312" w:cs="仿宋_GB2312" w:hint="eastAsia"/>
                <w:color w:val="333333"/>
                <w:sz w:val="28"/>
                <w:szCs w:val="28"/>
                <w:shd w:val="clear" w:color="auto" w:fill="FFFFFF"/>
              </w:rPr>
              <w:t>机关</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承接机关</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调整方式</w:t>
            </w:r>
          </w:p>
        </w:tc>
      </w:tr>
      <w:tr w:rsidR="000F39BA" w:rsidRPr="002173ED" w:rsidTr="002173ED">
        <w:trPr>
          <w:trHeight w:val="567"/>
          <w:jc w:val="center"/>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1</w:t>
            </w:r>
          </w:p>
        </w:tc>
        <w:tc>
          <w:tcPr>
            <w:tcW w:w="2288" w:type="dxa"/>
            <w:vMerge w:val="restart"/>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市县总体规划（国土空间总体规划）调整审批</w:t>
            </w:r>
          </w:p>
        </w:tc>
        <w:tc>
          <w:tcPr>
            <w:tcW w:w="1769"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省级行使的规划调整审批</w:t>
            </w:r>
          </w:p>
        </w:tc>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省人民政府、省自然资源和规划厅</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儋州市人民政府</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r w:rsidR="000F39BA" w:rsidRPr="002173ED" w:rsidTr="002173ED">
        <w:trPr>
          <w:trHeight w:val="1616"/>
          <w:jc w:val="center"/>
        </w:trPr>
        <w:tc>
          <w:tcPr>
            <w:tcW w:w="565" w:type="dxa"/>
            <w:vMerge/>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rPr>
                <w:rFonts w:ascii="仿宋_GB2312" w:eastAsia="仿宋_GB2312" w:hAnsi="仿宋_GB2312" w:cs="仿宋_GB2312"/>
                <w:color w:val="333333"/>
                <w:sz w:val="28"/>
                <w:szCs w:val="28"/>
                <w:shd w:val="clear" w:color="auto" w:fill="FFFFFF"/>
              </w:rPr>
            </w:pPr>
          </w:p>
        </w:tc>
        <w:tc>
          <w:tcPr>
            <w:tcW w:w="2288" w:type="dxa"/>
            <w:vMerge/>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rPr>
                <w:rFonts w:ascii="仿宋_GB2312" w:eastAsia="仿宋_GB2312" w:hAnsi="仿宋_GB2312" w:cs="仿宋_GB2312"/>
                <w:color w:val="333333"/>
                <w:sz w:val="28"/>
                <w:szCs w:val="28"/>
                <w:shd w:val="clear" w:color="auto" w:fill="FFFFFF"/>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政府投资的公共服务设施用地、农村</w:t>
            </w:r>
            <w:proofErr w:type="gramStart"/>
            <w:r w:rsidRPr="004B59E1">
              <w:rPr>
                <w:rFonts w:ascii="仿宋_GB2312" w:eastAsia="仿宋_GB2312" w:hAnsi="仿宋_GB2312" w:cs="仿宋_GB2312" w:hint="eastAsia"/>
                <w:color w:val="333333"/>
                <w:sz w:val="28"/>
                <w:szCs w:val="28"/>
                <w:shd w:val="clear" w:color="auto" w:fill="FFFFFF"/>
              </w:rPr>
              <w:t>村</w:t>
            </w:r>
            <w:proofErr w:type="gramEnd"/>
            <w:r w:rsidRPr="004B59E1">
              <w:rPr>
                <w:rFonts w:ascii="仿宋_GB2312" w:eastAsia="仿宋_GB2312" w:hAnsi="仿宋_GB2312" w:cs="仿宋_GB2312" w:hint="eastAsia"/>
                <w:color w:val="333333"/>
                <w:sz w:val="28"/>
                <w:szCs w:val="28"/>
                <w:shd w:val="clear" w:color="auto" w:fill="FFFFFF"/>
              </w:rPr>
              <w:t>民宅基地用地规划调整审批（不含跨市县项目）</w:t>
            </w:r>
          </w:p>
        </w:tc>
        <w:tc>
          <w:tcPr>
            <w:tcW w:w="1668" w:type="dxa"/>
            <w:vMerge/>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rPr>
                <w:rFonts w:ascii="仿宋_GB2312" w:eastAsia="仿宋_GB2312" w:hAnsi="仿宋_GB2312" w:cs="仿宋_GB2312"/>
                <w:color w:val="333333"/>
                <w:sz w:val="28"/>
                <w:szCs w:val="28"/>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各市、县、自治县人民政府</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rPr>
                <w:rFonts w:ascii="仿宋_GB2312" w:eastAsia="仿宋_GB2312" w:hAnsi="仿宋_GB2312" w:cs="仿宋_GB2312"/>
                <w:color w:val="333333"/>
                <w:sz w:val="28"/>
                <w:szCs w:val="28"/>
                <w:shd w:val="clear" w:color="auto" w:fill="FFFFFF"/>
              </w:rPr>
            </w:pPr>
          </w:p>
        </w:tc>
      </w:tr>
      <w:tr w:rsidR="000F39BA" w:rsidRPr="002173ED" w:rsidTr="002173ED">
        <w:trPr>
          <w:trHeight w:val="2174"/>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2</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40" w:lineRule="exac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重要规划控制区详细规划审批（不含木兰湾新城、博鳌亚洲论坛及周边地区、龙沐湾、莺歌海镇区和黄流镇区外的龙腾湾、九所镇区外的</w:t>
            </w:r>
            <w:proofErr w:type="gramStart"/>
            <w:r w:rsidRPr="004B59E1">
              <w:rPr>
                <w:rFonts w:ascii="仿宋_GB2312" w:eastAsia="仿宋_GB2312" w:hAnsi="仿宋_GB2312" w:cs="仿宋_GB2312" w:hint="eastAsia"/>
                <w:color w:val="333333"/>
                <w:sz w:val="28"/>
                <w:szCs w:val="28"/>
                <w:shd w:val="clear" w:color="auto" w:fill="FFFFFF"/>
              </w:rPr>
              <w:t>龙栖湾</w:t>
            </w:r>
            <w:proofErr w:type="gramEnd"/>
            <w:r w:rsidRPr="004B59E1">
              <w:rPr>
                <w:rFonts w:ascii="仿宋_GB2312" w:eastAsia="仿宋_GB2312" w:hAnsi="仿宋_GB2312" w:cs="仿宋_GB2312" w:hint="eastAsia"/>
                <w:color w:val="333333"/>
                <w:sz w:val="28"/>
                <w:szCs w:val="28"/>
                <w:shd w:val="clear" w:color="auto" w:fill="FFFFFF"/>
              </w:rPr>
              <w:t>等5个重要规划控制区和其它重要规划控制区涉及的自然保护地范围）</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省自然资源和规划厅</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重要规划控制区所在市、县、自治县人民政府</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r w:rsidR="000F39BA" w:rsidRPr="002173ED" w:rsidTr="002173ED">
        <w:trPr>
          <w:trHeight w:val="1082"/>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3</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4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重要规划控制区详细规划调整审批（涉及海岸带陆域200米范围历史遗留问题项目）</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省自然资源和规划厅</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各市、县、自治县人民政府</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r w:rsidR="000F39BA" w:rsidRPr="002173ED" w:rsidTr="002173ED">
        <w:trPr>
          <w:trHeight w:val="1634"/>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4</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4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占用林地审批（占用防护林林地、特殊用途林林地面积10公顷以下，用材林、经济林、薪炭林林地及其采伐迹地面积35公顷以下，其他林地面积70公顷以下）</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省自然资源和规划厅</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各市、县、自治县自然资源和规划主管部门</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r w:rsidR="000F39BA" w:rsidRPr="002173ED" w:rsidTr="002173ED">
        <w:trPr>
          <w:trHeight w:val="1828"/>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lastRenderedPageBreak/>
              <w:t>5</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4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农用地转用、未利用地转用与土地征收及调整农用地转用批准文件中明确的土地建设用途的审批（不含跨市县、占用永久基本农田、国务院授权省政府实施的土地征收、转用审批）</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省人民政府</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各市、县、自治县人民政府</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r w:rsidR="000F39BA" w:rsidRPr="002173ED" w:rsidTr="002173ED">
        <w:trPr>
          <w:trHeight w:val="567"/>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6</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土地征收成片开发方案审批</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省人民政府</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海口市、三亚市、儋州市人民政府</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r w:rsidR="000F39BA" w:rsidRPr="002173ED" w:rsidTr="002173ED">
        <w:trPr>
          <w:trHeight w:val="946"/>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7</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海域使用审批（不含围填海项目、跨市县海域使用项目）</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省人民政府</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沿海市、县、自治县人民政府</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r w:rsidR="000F39BA" w:rsidRPr="002173ED" w:rsidTr="002173ED">
        <w:trPr>
          <w:trHeight w:val="127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8</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采矿权抵押备案</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省自然资源和规划厅</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海口市、三亚市、儋州市自然资源和规划主管部门</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r w:rsidR="000F39BA" w:rsidRPr="002173ED" w:rsidTr="002173ED">
        <w:trPr>
          <w:trHeight w:val="126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9</w:t>
            </w:r>
          </w:p>
        </w:tc>
        <w:tc>
          <w:tcPr>
            <w:tcW w:w="4057" w:type="dxa"/>
            <w:gridSpan w:val="2"/>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采矿权抵押解除备案</w:t>
            </w:r>
          </w:p>
        </w:tc>
        <w:tc>
          <w:tcPr>
            <w:tcW w:w="1668"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省自然资源和规划厅</w:t>
            </w:r>
          </w:p>
        </w:tc>
        <w:tc>
          <w:tcPr>
            <w:tcW w:w="1417"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left"/>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海口市、三亚市、儋州市自然资源和规划主管部门</w:t>
            </w:r>
          </w:p>
        </w:tc>
        <w:tc>
          <w:tcPr>
            <w:tcW w:w="850" w:type="dxa"/>
            <w:tcBorders>
              <w:top w:val="single" w:sz="4" w:space="0" w:color="000000"/>
              <w:left w:val="single" w:sz="4" w:space="0" w:color="000000"/>
              <w:bottom w:val="single" w:sz="4" w:space="0" w:color="000000"/>
              <w:right w:val="single" w:sz="4" w:space="0" w:color="000000"/>
            </w:tcBorders>
            <w:vAlign w:val="center"/>
          </w:tcPr>
          <w:p w:rsidR="004B59E1" w:rsidRPr="004B59E1" w:rsidRDefault="004B59E1" w:rsidP="004B59E1">
            <w:pPr>
              <w:widowControl/>
              <w:spacing w:line="360" w:lineRule="exact"/>
              <w:jc w:val="center"/>
              <w:textAlignment w:val="center"/>
              <w:rPr>
                <w:rFonts w:ascii="仿宋_GB2312" w:eastAsia="仿宋_GB2312" w:hAnsi="仿宋_GB2312" w:cs="仿宋_GB2312" w:hint="eastAsia"/>
                <w:color w:val="333333"/>
                <w:sz w:val="28"/>
                <w:szCs w:val="28"/>
                <w:shd w:val="clear" w:color="auto" w:fill="FFFFFF"/>
              </w:rPr>
            </w:pPr>
            <w:r w:rsidRPr="004B59E1">
              <w:rPr>
                <w:rFonts w:ascii="仿宋_GB2312" w:eastAsia="仿宋_GB2312" w:hAnsi="仿宋_GB2312" w:cs="仿宋_GB2312" w:hint="eastAsia"/>
                <w:color w:val="333333"/>
                <w:sz w:val="28"/>
                <w:szCs w:val="28"/>
                <w:shd w:val="clear" w:color="auto" w:fill="FFFFFF"/>
              </w:rPr>
              <w:t>委托</w:t>
            </w:r>
          </w:p>
        </w:tc>
      </w:tr>
    </w:tbl>
    <w:p w:rsidR="004B59E1" w:rsidRPr="00450B63" w:rsidRDefault="004B59E1" w:rsidP="004B59E1">
      <w:pPr>
        <w:spacing w:line="600" w:lineRule="exact"/>
        <w:rPr>
          <w:rFonts w:ascii="仿宋_GB2312" w:eastAsia="仿宋_GB2312" w:hAnsi="仿宋_GB2312" w:cs="仿宋_GB2312" w:hint="eastAsia"/>
          <w:color w:val="333333"/>
          <w:sz w:val="32"/>
          <w:szCs w:val="32"/>
          <w:shd w:val="clear" w:color="auto" w:fill="FFFFFF"/>
        </w:rPr>
      </w:pPr>
    </w:p>
    <w:sectPr w:rsidR="004B59E1" w:rsidRPr="00450B6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A9" w:rsidRDefault="001B64A9">
      <w:r>
        <w:separator/>
      </w:r>
    </w:p>
  </w:endnote>
  <w:endnote w:type="continuationSeparator" w:id="0">
    <w:p w:rsidR="001B64A9" w:rsidRDefault="001B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variable"/>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173ED">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173E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90B0A" w:rsidRDefault="00924F7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DCDE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D51618">
      <w:rPr>
        <w:rFonts w:ascii="宋体" w:eastAsia="宋体" w:hAnsi="宋体" w:cs="宋体" w:hint="eastAsia"/>
        <w:b/>
        <w:bCs/>
        <w:color w:val="005192"/>
        <w:sz w:val="28"/>
        <w:szCs w:val="44"/>
      </w:rPr>
      <w:t>海南省人民政府</w:t>
    </w:r>
    <w:r>
      <w:rPr>
        <w:rFonts w:ascii="宋体" w:eastAsia="宋体" w:hAnsi="宋体" w:cs="宋体" w:hint="eastAsia"/>
        <w:b/>
        <w:bCs/>
        <w:color w:val="005192"/>
        <w:sz w:val="28"/>
        <w:szCs w:val="44"/>
      </w:rPr>
      <w:t xml:space="preserve">发布     </w:t>
    </w:r>
  </w:p>
  <w:p w:rsidR="00090B0A" w:rsidRDefault="00090B0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A9" w:rsidRDefault="001B64A9">
      <w:r>
        <w:separator/>
      </w:r>
    </w:p>
  </w:footnote>
  <w:footnote w:type="continuationSeparator" w:id="0">
    <w:p w:rsidR="001B64A9" w:rsidRDefault="001B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42FB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90B0A" w:rsidRDefault="00924F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51618">
      <w:rPr>
        <w:rFonts w:ascii="宋体" w:eastAsia="宋体" w:hAnsi="宋体" w:cs="宋体" w:hint="eastAsia"/>
        <w:b/>
        <w:bCs/>
        <w:color w:val="005192"/>
        <w:sz w:val="32"/>
        <w:szCs w:val="32"/>
      </w:rPr>
      <w:t>海南省人民政府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B0A"/>
    <w:rsid w:val="000F39BA"/>
    <w:rsid w:val="00133611"/>
    <w:rsid w:val="00172A27"/>
    <w:rsid w:val="001B64A9"/>
    <w:rsid w:val="001C5931"/>
    <w:rsid w:val="002173ED"/>
    <w:rsid w:val="003D5854"/>
    <w:rsid w:val="00450B63"/>
    <w:rsid w:val="004B59E1"/>
    <w:rsid w:val="004D0D88"/>
    <w:rsid w:val="00533A07"/>
    <w:rsid w:val="00636EC8"/>
    <w:rsid w:val="00722A1D"/>
    <w:rsid w:val="00924F73"/>
    <w:rsid w:val="00AD0745"/>
    <w:rsid w:val="00D51618"/>
    <w:rsid w:val="00DC7169"/>
    <w:rsid w:val="00DE5AE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B4A126-1746-409C-87E5-4BAA9B15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D51618"/>
    <w:rPr>
      <w:sz w:val="18"/>
      <w:szCs w:val="18"/>
    </w:rPr>
  </w:style>
  <w:style w:type="character" w:customStyle="1" w:styleId="Char">
    <w:name w:val="批注框文本 Char"/>
    <w:basedOn w:val="a0"/>
    <w:link w:val="a7"/>
    <w:rsid w:val="00D51618"/>
    <w:rPr>
      <w:rFonts w:asciiTheme="minorHAnsi" w:eastAsiaTheme="minorEastAsia" w:hAnsiTheme="minorHAnsi" w:cstheme="minorBidi"/>
      <w:kern w:val="2"/>
      <w:sz w:val="18"/>
      <w:szCs w:val="18"/>
    </w:rPr>
  </w:style>
  <w:style w:type="paragraph" w:styleId="a8">
    <w:name w:val="Normal (Web)"/>
    <w:basedOn w:val="a"/>
    <w:rsid w:val="004B59E1"/>
    <w:pPr>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14</cp:revision>
  <cp:lastPrinted>2022-07-13T01:45:00Z</cp:lastPrinted>
  <dcterms:created xsi:type="dcterms:W3CDTF">2021-09-09T02:41:00Z</dcterms:created>
  <dcterms:modified xsi:type="dcterms:W3CDTF">2022-07-13T02:29:00Z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