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pStyle w:val="6"/>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海南省人民政府关于委托实施部分省级用地行政审批事项的决定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firstLine="640" w:firstLineChars="200"/>
        <w:jc w:val="both"/>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(2020年6月29日七届海南省人民政府第52次常务会议审议通过 2020年7月10日海南省人民政府令第289号公布)</w:t>
      </w:r>
    </w:p>
    <w:p>
      <w:pPr>
        <w:pStyle w:val="6"/>
        <w:keepNext w:val="0"/>
        <w:keepLines w:val="0"/>
        <w:widowControl/>
        <w:suppressLineNumbers w:val="0"/>
        <w:spacing w:before="0" w:beforeAutospacing="0" w:line="450" w:lineRule="atLeast"/>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spacing w:before="0" w:beforeAutospacing="0" w:after="210" w:afterAutospacing="0" w:line="450" w:lineRule="atLeas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为深入贯彻落实党中央、国务院关于深化“放管服”改革、优化营商环境的决策部署，以及《中共海南省委办公厅　海南省人民政府办公厅印发〈关于进一步采取超常规举措确保完成全年经济目标的实施意见〉的通知》（琼厅字〔2020〕22号）要求，经过严格审核和论证，省政府决定将“五网”基础设施用地、政府投资的公共服务设施用地的农用地转用和土地征收、农村村民宅基地的农用地转用（不含跨市县、占用永久基本农田、国家授权给省政府农用地转用和土地征收审批事项）等五项省级事权委托各市县政府或其有关部门实施，有效期3年。</w:t>
      </w:r>
    </w:p>
    <w:p>
      <w:pPr>
        <w:pStyle w:val="6"/>
        <w:keepNext w:val="0"/>
        <w:keepLines w:val="0"/>
        <w:widowControl/>
        <w:suppressLineNumbers w:val="0"/>
        <w:spacing w:before="0" w:beforeAutospacing="0" w:after="210" w:afterAutospacing="0" w:line="450" w:lineRule="atLeas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委托实施的行政审批事项，原实施机关应当加强业务培训指导，强化事中事后监管，做到放管结合；承接机关应当周密组织，做好各方面的部署和安排，做到规范有序。对实践证明不宜委托实施的，及时收回委托事项。</w:t>
      </w:r>
    </w:p>
    <w:p>
      <w:pPr>
        <w:pStyle w:val="6"/>
        <w:keepNext w:val="0"/>
        <w:keepLines w:val="0"/>
        <w:widowControl/>
        <w:suppressLineNumbers w:val="0"/>
        <w:spacing w:before="0" w:beforeAutospacing="0" w:after="210" w:afterAutospacing="0" w:line="450" w:lineRule="atLeas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本决定自公布之日起施行。</w:t>
      </w:r>
    </w:p>
    <w:p>
      <w:pPr>
        <w:pStyle w:val="6"/>
        <w:keepNext w:val="0"/>
        <w:keepLines w:val="0"/>
        <w:widowControl/>
        <w:suppressLineNumbers w:val="0"/>
        <w:spacing w:before="0" w:beforeAutospacing="0" w:after="210" w:afterAutospacing="0" w:line="450" w:lineRule="atLeast"/>
        <w:ind w:firstLine="643" w:firstLineChars="200"/>
        <w:jc w:val="both"/>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b/>
          <w:bCs/>
          <w:color w:val="333333"/>
          <w:sz w:val="32"/>
          <w:szCs w:val="32"/>
          <w:shd w:val="clear" w:color="auto" w:fill="FFFFFF"/>
        </w:rPr>
        <w:t>附件</w:t>
      </w:r>
      <w:r>
        <w:rPr>
          <w:rFonts w:hint="eastAsia" w:ascii="仿宋_GB2312" w:hAnsi="仿宋_GB2312" w:eastAsia="仿宋_GB2312" w:cs="仿宋_GB2312"/>
          <w:b/>
          <w:bCs/>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海南省人民政府决定委托实施的省级用地行政审批事项清单</w:t>
      </w:r>
    </w:p>
    <w:tbl>
      <w:tblPr>
        <w:tblStyle w:val="7"/>
        <w:tblW w:w="10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6"/>
        <w:gridCol w:w="1528"/>
        <w:gridCol w:w="2051"/>
        <w:gridCol w:w="911"/>
        <w:gridCol w:w="1827"/>
        <w:gridCol w:w="1035"/>
        <w:gridCol w:w="1346"/>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序号</w:t>
            </w:r>
          </w:p>
        </w:tc>
        <w:tc>
          <w:tcPr>
            <w:tcW w:w="152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事项名称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设立依据</w:t>
            </w:r>
          </w:p>
        </w:tc>
        <w:tc>
          <w:tcPr>
            <w:tcW w:w="91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原实施机关</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承接机关</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调整方式</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实施期限</w:t>
            </w:r>
          </w:p>
        </w:tc>
        <w:tc>
          <w:tcPr>
            <w:tcW w:w="108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6" w:hRule="atLeast"/>
          <w:jc w:val="center"/>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2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土地征收（“五网”基础设施用地、政府投资的公共服务设施用地）审批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spacing w:after="240" w:afterLines="0"/>
              <w:rPr>
                <w:rFonts w:hint="eastAsia" w:ascii="宋体" w:hAnsi="宋体" w:cs="宋体"/>
                <w:color w:val="000000"/>
                <w:kern w:val="0"/>
                <w:szCs w:val="21"/>
              </w:rPr>
            </w:pPr>
            <w:r>
              <w:rPr>
                <w:rFonts w:hint="eastAsia" w:ascii="宋体" w:hAnsi="宋体" w:cs="宋体"/>
                <w:color w:val="000000"/>
                <w:kern w:val="0"/>
                <w:szCs w:val="21"/>
              </w:rPr>
              <w:t>《中华人民共和国土地管理法》（2019年8月26日第三次修正）第四十五条第1款、第四十六条第2款</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省政府</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各市县政府</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委托</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3年</w:t>
            </w:r>
          </w:p>
        </w:tc>
        <w:tc>
          <w:tcPr>
            <w:tcW w:w="10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kern w:val="0"/>
                <w:sz w:val="22"/>
              </w:rPr>
            </w:pPr>
            <w:r>
              <w:rPr>
                <w:rFonts w:hint="eastAsia" w:ascii="宋体" w:hAnsi="宋体" w:cs="宋体"/>
                <w:bCs/>
                <w:color w:val="000000"/>
                <w:kern w:val="0"/>
                <w:sz w:val="22"/>
              </w:rPr>
              <w:t>跨市县、占用永久基本农田、</w:t>
            </w:r>
            <w:r>
              <w:rPr>
                <w:rFonts w:hint="eastAsia" w:ascii="宋体" w:hAnsi="宋体" w:cs="宋体"/>
                <w:color w:val="000000"/>
                <w:kern w:val="0"/>
                <w:sz w:val="22"/>
              </w:rPr>
              <w:t>国家授权给省政府的土地征收审批事项不属于此委托范围。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5" w:hRule="atLeast"/>
          <w:jc w:val="center"/>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2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农用地转用（“五网”基础设施用地、政府投资的公共服务设施用地、农村村民宅基地）审批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《中华人民共和国土地管理法》（2019年8月26日第三次修正）第四十四条第3款，第四十六条第2、3款，第四十八条第4款，第六十二条第4款</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省政府</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各市县政府</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委托</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3年</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bCs/>
                <w:color w:val="000000"/>
                <w:kern w:val="0"/>
                <w:sz w:val="22"/>
              </w:rPr>
              <w:t>跨市县、占用永久基本农田、</w:t>
            </w:r>
            <w:r>
              <w:rPr>
                <w:rFonts w:hint="eastAsia" w:ascii="宋体" w:hAnsi="宋体" w:cs="宋体"/>
                <w:color w:val="000000"/>
                <w:kern w:val="0"/>
                <w:sz w:val="22"/>
              </w:rPr>
              <w:t>国家授权给省政府的农用地转用审批事项不属于此委托范围。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2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林地征（占）用（“五网”基础设施用地、政府投资的公共服务设施用地、农村村民宅基地）审核</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spacing w:after="240" w:afterLines="0"/>
              <w:rPr>
                <w:rFonts w:hint="eastAsia" w:ascii="宋体" w:hAnsi="宋体" w:cs="宋体"/>
                <w:color w:val="000000"/>
                <w:kern w:val="0"/>
                <w:szCs w:val="21"/>
              </w:rPr>
            </w:pPr>
            <w:r>
              <w:rPr>
                <w:rFonts w:hint="eastAsia" w:ascii="宋体" w:hAnsi="宋体" w:cs="宋体"/>
                <w:color w:val="000000"/>
                <w:kern w:val="0"/>
                <w:szCs w:val="21"/>
              </w:rPr>
              <w:t>《中华人民共和国森林法》第三十七条，《中华人民共和国森林法实施条例》（国务院令第278号，根据2011年1月8日《国务院关于废止和修改部分行政法规的决定》修改）第十六条</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省自然资源和规划厅</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各市县</w:t>
            </w:r>
            <w:r>
              <w:rPr>
                <w:rFonts w:ascii="宋体" w:hAnsi="宋体" w:cs="宋体"/>
                <w:color w:val="000000"/>
                <w:kern w:val="0"/>
                <w:sz w:val="22"/>
              </w:rPr>
              <w:t>自然</w:t>
            </w:r>
            <w:r>
              <w:rPr>
                <w:rFonts w:hint="eastAsia" w:ascii="宋体" w:hAnsi="宋体" w:cs="宋体"/>
                <w:color w:val="000000"/>
                <w:kern w:val="0"/>
                <w:sz w:val="22"/>
              </w:rPr>
              <w:t>资源</w:t>
            </w:r>
            <w:r>
              <w:rPr>
                <w:rFonts w:ascii="宋体" w:hAnsi="宋体" w:cs="宋体"/>
                <w:color w:val="000000"/>
                <w:kern w:val="0"/>
                <w:sz w:val="22"/>
              </w:rPr>
              <w:t>和规划</w:t>
            </w:r>
            <w:r>
              <w:rPr>
                <w:rFonts w:hint="eastAsia" w:ascii="宋体" w:hAnsi="宋体" w:cs="宋体"/>
                <w:color w:val="000000"/>
                <w:kern w:val="0"/>
                <w:sz w:val="22"/>
              </w:rPr>
              <w:t>部门</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委托</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rPr>
            </w:pPr>
            <w:r>
              <w:rPr>
                <w:rFonts w:hint="eastAsia" w:ascii="宋体" w:hAnsi="宋体" w:cs="宋体"/>
                <w:color w:val="000000"/>
                <w:kern w:val="0"/>
                <w:sz w:val="22"/>
              </w:rPr>
              <w:t>3年</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jc w:val="center"/>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52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省重要规划控制区控制性详细规划调整审批（涉及海岸带陆域200米范围历史遗留问题项目）</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《海南省人民代表大会常务委员会关于加强重要规划控制区规划管理的决定》（2018年4月3日）第四条第1款</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省自然资源和规划厅</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各市县自然资源和</w:t>
            </w:r>
          </w:p>
          <w:p>
            <w:pPr>
              <w:jc w:val="center"/>
              <w:rPr>
                <w:rFonts w:hint="eastAsia" w:ascii="宋体" w:hAnsi="宋体" w:cs="宋体"/>
                <w:color w:val="000000"/>
                <w:kern w:val="0"/>
                <w:szCs w:val="21"/>
              </w:rPr>
            </w:pPr>
            <w:r>
              <w:rPr>
                <w:rFonts w:hint="eastAsia" w:ascii="宋体" w:hAnsi="宋体" w:cs="宋体"/>
                <w:color w:val="000000"/>
                <w:kern w:val="0"/>
                <w:szCs w:val="21"/>
              </w:rPr>
              <w:t>规划部门</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3年</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52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市县总体规划调整审批（“五网”基础设施和政府投资的公共服务设施项目、农村</w:t>
            </w:r>
            <w:r>
              <w:rPr>
                <w:rFonts w:ascii="宋体" w:hAnsi="宋体" w:cs="宋体"/>
                <w:color w:val="000000"/>
                <w:kern w:val="0"/>
                <w:szCs w:val="21"/>
              </w:rPr>
              <w:t>村民</w:t>
            </w:r>
            <w:r>
              <w:rPr>
                <w:rFonts w:hint="eastAsia" w:ascii="宋体" w:hAnsi="宋体" w:cs="宋体"/>
                <w:color w:val="000000"/>
                <w:kern w:val="0"/>
                <w:szCs w:val="21"/>
              </w:rPr>
              <w:t>宅基地）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《海南省人民代表大会常务委员会关于实施海南省总体规划的决定》（2018年4月3日）第四条第1款，第五条；</w:t>
            </w:r>
          </w:p>
          <w:p>
            <w:pPr>
              <w:widowControl/>
              <w:jc w:val="left"/>
              <w:rPr>
                <w:rFonts w:hint="eastAsia" w:ascii="宋体" w:hAnsi="宋体" w:cs="宋体"/>
                <w:color w:val="000000"/>
                <w:kern w:val="0"/>
                <w:szCs w:val="21"/>
              </w:rPr>
            </w:pPr>
            <w:r>
              <w:rPr>
                <w:rFonts w:hint="eastAsia" w:ascii="宋体" w:hAnsi="宋体" w:cs="宋体"/>
                <w:color w:val="000000"/>
                <w:kern w:val="0"/>
                <w:szCs w:val="21"/>
              </w:rPr>
              <w:t>《海南省省和市县总体规划实施管理办法（试行）》（2019年7月5日）</w:t>
            </w:r>
            <w:r>
              <w:rPr>
                <w:rFonts w:hint="eastAsia" w:ascii="宋体" w:hAnsi="宋体" w:cs="宋体"/>
                <w:kern w:val="0"/>
                <w:szCs w:val="21"/>
              </w:rPr>
              <w:t>第十二条第3款，</w:t>
            </w:r>
            <w:r>
              <w:rPr>
                <w:rFonts w:hint="eastAsia" w:ascii="宋体" w:hAnsi="宋体" w:cs="宋体"/>
                <w:color w:val="000000"/>
                <w:kern w:val="0"/>
                <w:szCs w:val="21"/>
              </w:rPr>
              <w:t>第十三条第1款</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省政府、省自然资源和规划厅</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各市县政府</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委托</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kern w:val="0"/>
                <w:szCs w:val="21"/>
              </w:rPr>
            </w:pPr>
            <w:r>
              <w:rPr>
                <w:rFonts w:hint="eastAsia" w:ascii="宋体" w:hAnsi="宋体" w:cs="宋体"/>
                <w:color w:val="000000"/>
                <w:kern w:val="0"/>
                <w:szCs w:val="21"/>
              </w:rPr>
              <w:t>3年</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跨市县项目不</w:t>
            </w:r>
            <w:r>
              <w:rPr>
                <w:rFonts w:ascii="宋体" w:hAnsi="宋体" w:cs="宋体"/>
                <w:color w:val="000000"/>
                <w:kern w:val="0"/>
                <w:szCs w:val="21"/>
              </w:rPr>
              <w:t>属于此</w:t>
            </w:r>
            <w:r>
              <w:rPr>
                <w:rFonts w:hint="eastAsia" w:ascii="宋体" w:hAnsi="宋体" w:cs="宋体"/>
                <w:color w:val="000000"/>
                <w:kern w:val="0"/>
                <w:szCs w:val="21"/>
              </w:rPr>
              <w:t>委托</w:t>
            </w:r>
            <w:r>
              <w:rPr>
                <w:rFonts w:ascii="宋体" w:hAnsi="宋体" w:cs="宋体"/>
                <w:color w:val="000000"/>
                <w:kern w:val="0"/>
                <w:szCs w:val="21"/>
              </w:rPr>
              <w:t>范围</w:t>
            </w:r>
            <w:r>
              <w:rPr>
                <w:rFonts w:hint="eastAsia" w:ascii="宋体" w:hAnsi="宋体" w:cs="宋体"/>
                <w:color w:val="000000"/>
                <w:kern w:val="0"/>
                <w:szCs w:val="21"/>
              </w:rPr>
              <w:t>。</w:t>
            </w:r>
          </w:p>
        </w:tc>
      </w:tr>
    </w:tbl>
    <w:p>
      <w:pPr>
        <w:spacing w:line="560" w:lineRule="exact"/>
        <w:rPr>
          <w:rFonts w:hint="eastAsia" w:ascii="仿宋_GB2312" w:eastAsia="仿宋_GB2312"/>
          <w:sz w:val="28"/>
          <w:szCs w:val="28"/>
        </w:rPr>
      </w:pPr>
    </w:p>
    <w:p>
      <w:pPr>
        <w:pStyle w:val="6"/>
        <w:keepNext w:val="0"/>
        <w:keepLines w:val="0"/>
        <w:widowControl/>
        <w:suppressLineNumbers w:val="0"/>
        <w:spacing w:before="0" w:beforeAutospacing="0" w:after="210" w:afterAutospacing="0" w:line="450" w:lineRule="atLeast"/>
        <w:jc w:val="both"/>
        <w:rPr>
          <w:rFonts w:hint="default"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6C016CF"/>
    <w:rsid w:val="080F63D8"/>
    <w:rsid w:val="09341458"/>
    <w:rsid w:val="0B0912D7"/>
    <w:rsid w:val="15115C90"/>
    <w:rsid w:val="152D2DCA"/>
    <w:rsid w:val="185A7C29"/>
    <w:rsid w:val="1BDF0FE6"/>
    <w:rsid w:val="1C190DAE"/>
    <w:rsid w:val="1DEC284C"/>
    <w:rsid w:val="1E6523AC"/>
    <w:rsid w:val="1F467531"/>
    <w:rsid w:val="21D40FD3"/>
    <w:rsid w:val="22440422"/>
    <w:rsid w:val="22AC33C5"/>
    <w:rsid w:val="23244207"/>
    <w:rsid w:val="27006440"/>
    <w:rsid w:val="2B224CDF"/>
    <w:rsid w:val="31A15F24"/>
    <w:rsid w:val="320D1362"/>
    <w:rsid w:val="331A740D"/>
    <w:rsid w:val="395347B5"/>
    <w:rsid w:val="39A232A0"/>
    <w:rsid w:val="39E745AA"/>
    <w:rsid w:val="3B5A6BBB"/>
    <w:rsid w:val="3E815AAD"/>
    <w:rsid w:val="3E87492C"/>
    <w:rsid w:val="3EDA13A6"/>
    <w:rsid w:val="42F058B7"/>
    <w:rsid w:val="436109F6"/>
    <w:rsid w:val="441A38D4"/>
    <w:rsid w:val="49925ABB"/>
    <w:rsid w:val="4BC77339"/>
    <w:rsid w:val="4C9236C5"/>
    <w:rsid w:val="505C172E"/>
    <w:rsid w:val="52F46F0B"/>
    <w:rsid w:val="53D8014D"/>
    <w:rsid w:val="55E064E0"/>
    <w:rsid w:val="56D44467"/>
    <w:rsid w:val="572C6D10"/>
    <w:rsid w:val="58FE1654"/>
    <w:rsid w:val="5D7628DD"/>
    <w:rsid w:val="5DC34279"/>
    <w:rsid w:val="6043603E"/>
    <w:rsid w:val="608816D1"/>
    <w:rsid w:val="60EF4E7F"/>
    <w:rsid w:val="644438C0"/>
    <w:rsid w:val="64B60C08"/>
    <w:rsid w:val="665233C1"/>
    <w:rsid w:val="68A51E8A"/>
    <w:rsid w:val="68E93DF6"/>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grfwico16"/>
    <w:basedOn w:val="8"/>
    <w:uiPriority w:val="0"/>
  </w:style>
  <w:style w:type="character" w:customStyle="1" w:styleId="14">
    <w:name w:val="grfwico10"/>
    <w:basedOn w:val="8"/>
    <w:uiPriority w:val="0"/>
  </w:style>
  <w:style w:type="character" w:customStyle="1" w:styleId="15">
    <w:name w:val="bsfwico21"/>
    <w:basedOn w:val="8"/>
    <w:uiPriority w:val="0"/>
  </w:style>
  <w:style w:type="character" w:customStyle="1" w:styleId="16">
    <w:name w:val="bsfwico3"/>
    <w:basedOn w:val="8"/>
    <w:uiPriority w:val="0"/>
  </w:style>
  <w:style w:type="character" w:customStyle="1" w:styleId="17">
    <w:name w:val="bsfwico5"/>
    <w:basedOn w:val="8"/>
    <w:uiPriority w:val="0"/>
  </w:style>
  <w:style w:type="character" w:customStyle="1" w:styleId="18">
    <w:name w:val="grfwico2"/>
    <w:basedOn w:val="8"/>
    <w:qFormat/>
    <w:uiPriority w:val="0"/>
  </w:style>
  <w:style w:type="character" w:customStyle="1" w:styleId="19">
    <w:name w:val="grfwico7"/>
    <w:basedOn w:val="8"/>
    <w:qFormat/>
    <w:uiPriority w:val="0"/>
  </w:style>
  <w:style w:type="character" w:customStyle="1" w:styleId="20">
    <w:name w:val="grfwico1"/>
    <w:basedOn w:val="8"/>
    <w:qFormat/>
    <w:uiPriority w:val="0"/>
  </w:style>
  <w:style w:type="character" w:customStyle="1" w:styleId="21">
    <w:name w:val="grfwico3"/>
    <w:basedOn w:val="8"/>
    <w:uiPriority w:val="0"/>
  </w:style>
  <w:style w:type="character" w:customStyle="1" w:styleId="22">
    <w:name w:val="hdata"/>
    <w:basedOn w:val="8"/>
    <w:qFormat/>
    <w:uiPriority w:val="0"/>
    <w:rPr>
      <w:color w:val="888888"/>
      <w:sz w:val="18"/>
      <w:szCs w:val="18"/>
    </w:rPr>
  </w:style>
  <w:style w:type="character" w:customStyle="1" w:styleId="23">
    <w:name w:val="grfwico18"/>
    <w:basedOn w:val="8"/>
    <w:qFormat/>
    <w:uiPriority w:val="0"/>
  </w:style>
  <w:style w:type="character" w:customStyle="1" w:styleId="24">
    <w:name w:val="grfwico11"/>
    <w:basedOn w:val="8"/>
    <w:uiPriority w:val="0"/>
  </w:style>
  <w:style w:type="character" w:customStyle="1" w:styleId="25">
    <w:name w:val="bsfwico13"/>
    <w:basedOn w:val="8"/>
    <w:uiPriority w:val="0"/>
  </w:style>
  <w:style w:type="character" w:customStyle="1" w:styleId="26">
    <w:name w:val="bsfwico8"/>
    <w:basedOn w:val="8"/>
    <w:uiPriority w:val="0"/>
  </w:style>
  <w:style w:type="character" w:customStyle="1" w:styleId="27">
    <w:name w:val="grfwico15"/>
    <w:basedOn w:val="8"/>
    <w:uiPriority w:val="0"/>
  </w:style>
  <w:style w:type="character" w:customStyle="1" w:styleId="28">
    <w:name w:val="grfwico4"/>
    <w:basedOn w:val="8"/>
    <w:qFormat/>
    <w:uiPriority w:val="0"/>
  </w:style>
  <w:style w:type="character" w:customStyle="1" w:styleId="29">
    <w:name w:val="hdxdata"/>
    <w:basedOn w:val="8"/>
    <w:qFormat/>
    <w:uiPriority w:val="0"/>
  </w:style>
  <w:style w:type="character" w:customStyle="1" w:styleId="30">
    <w:name w:val="grfwico13"/>
    <w:basedOn w:val="8"/>
    <w:uiPriority w:val="0"/>
  </w:style>
  <w:style w:type="character" w:customStyle="1" w:styleId="31">
    <w:name w:val="bsfwico14"/>
    <w:basedOn w:val="8"/>
    <w:uiPriority w:val="0"/>
  </w:style>
  <w:style w:type="character" w:customStyle="1" w:styleId="32">
    <w:name w:val="grfwico19"/>
    <w:basedOn w:val="8"/>
    <w:uiPriority w:val="0"/>
  </w:style>
  <w:style w:type="character" w:customStyle="1" w:styleId="33">
    <w:name w:val="bsfwico12"/>
    <w:basedOn w:val="8"/>
    <w:qFormat/>
    <w:uiPriority w:val="0"/>
  </w:style>
  <w:style w:type="character" w:customStyle="1" w:styleId="34">
    <w:name w:val="bsfwico23"/>
    <w:basedOn w:val="8"/>
    <w:uiPriority w:val="0"/>
  </w:style>
  <w:style w:type="character" w:customStyle="1" w:styleId="35">
    <w:name w:val="bsfwico0"/>
    <w:basedOn w:val="8"/>
    <w:uiPriority w:val="0"/>
  </w:style>
  <w:style w:type="character" w:customStyle="1" w:styleId="36">
    <w:name w:val="bsfwico1"/>
    <w:basedOn w:val="8"/>
    <w:qFormat/>
    <w:uiPriority w:val="0"/>
  </w:style>
  <w:style w:type="character" w:customStyle="1" w:styleId="37">
    <w:name w:val="bsfwico20"/>
    <w:basedOn w:val="8"/>
    <w:qFormat/>
    <w:uiPriority w:val="0"/>
  </w:style>
  <w:style w:type="character" w:customStyle="1" w:styleId="38">
    <w:name w:val="bsfwico2"/>
    <w:basedOn w:val="8"/>
    <w:uiPriority w:val="0"/>
  </w:style>
  <w:style w:type="character" w:customStyle="1" w:styleId="39">
    <w:name w:val="bsfwico4"/>
    <w:basedOn w:val="8"/>
    <w:qFormat/>
    <w:uiPriority w:val="0"/>
  </w:style>
  <w:style w:type="character" w:customStyle="1" w:styleId="40">
    <w:name w:val="grfwico6"/>
    <w:basedOn w:val="8"/>
    <w:uiPriority w:val="0"/>
  </w:style>
  <w:style w:type="character" w:customStyle="1" w:styleId="41">
    <w:name w:val="bsfwico6"/>
    <w:basedOn w:val="8"/>
    <w:qFormat/>
    <w:uiPriority w:val="0"/>
  </w:style>
  <w:style w:type="character" w:customStyle="1" w:styleId="42">
    <w:name w:val="bsfwico7"/>
    <w:basedOn w:val="8"/>
    <w:uiPriority w:val="0"/>
  </w:style>
  <w:style w:type="character" w:customStyle="1" w:styleId="43">
    <w:name w:val="grfwico12"/>
    <w:basedOn w:val="8"/>
    <w:uiPriority w:val="0"/>
  </w:style>
  <w:style w:type="character" w:customStyle="1" w:styleId="44">
    <w:name w:val="bsfwico9"/>
    <w:basedOn w:val="8"/>
    <w:uiPriority w:val="0"/>
  </w:style>
  <w:style w:type="character" w:customStyle="1" w:styleId="45">
    <w:name w:val="bsfwico10"/>
    <w:basedOn w:val="8"/>
    <w:uiPriority w:val="0"/>
  </w:style>
  <w:style w:type="character" w:customStyle="1" w:styleId="46">
    <w:name w:val="bsfwico11"/>
    <w:basedOn w:val="8"/>
    <w:uiPriority w:val="0"/>
  </w:style>
  <w:style w:type="character" w:customStyle="1" w:styleId="47">
    <w:name w:val="grfwico14"/>
    <w:basedOn w:val="8"/>
    <w:uiPriority w:val="0"/>
  </w:style>
  <w:style w:type="character" w:customStyle="1" w:styleId="48">
    <w:name w:val="bsfwico15"/>
    <w:basedOn w:val="8"/>
    <w:uiPriority w:val="0"/>
  </w:style>
  <w:style w:type="character" w:customStyle="1" w:styleId="49">
    <w:name w:val="grfwico9"/>
    <w:basedOn w:val="8"/>
    <w:uiPriority w:val="0"/>
  </w:style>
  <w:style w:type="character" w:customStyle="1" w:styleId="50">
    <w:name w:val="bsfwico16"/>
    <w:basedOn w:val="8"/>
    <w:qFormat/>
    <w:uiPriority w:val="0"/>
  </w:style>
  <w:style w:type="character" w:customStyle="1" w:styleId="51">
    <w:name w:val="bsfwico17"/>
    <w:basedOn w:val="8"/>
    <w:uiPriority w:val="0"/>
  </w:style>
  <w:style w:type="character" w:customStyle="1" w:styleId="52">
    <w:name w:val="bsfwico18"/>
    <w:basedOn w:val="8"/>
    <w:uiPriority w:val="0"/>
  </w:style>
  <w:style w:type="character" w:customStyle="1" w:styleId="53">
    <w:name w:val="bsfwico19"/>
    <w:basedOn w:val="8"/>
    <w:uiPriority w:val="0"/>
  </w:style>
  <w:style w:type="character" w:customStyle="1" w:styleId="54">
    <w:name w:val="bsfwico22"/>
    <w:basedOn w:val="8"/>
    <w:uiPriority w:val="0"/>
  </w:style>
  <w:style w:type="character" w:customStyle="1" w:styleId="55">
    <w:name w:val="grfwico0"/>
    <w:basedOn w:val="8"/>
    <w:uiPriority w:val="0"/>
  </w:style>
  <w:style w:type="character" w:customStyle="1" w:styleId="56">
    <w:name w:val="grfwico5"/>
    <w:basedOn w:val="8"/>
    <w:qFormat/>
    <w:uiPriority w:val="0"/>
  </w:style>
  <w:style w:type="character" w:customStyle="1" w:styleId="57">
    <w:name w:val="grfwico8"/>
    <w:basedOn w:val="8"/>
    <w:qFormat/>
    <w:uiPriority w:val="0"/>
  </w:style>
  <w:style w:type="character" w:customStyle="1" w:styleId="58">
    <w:name w:val="grfwico17"/>
    <w:basedOn w:val="8"/>
    <w:uiPriority w:val="0"/>
  </w:style>
  <w:style w:type="paragraph" w:customStyle="1" w:styleId="59">
    <w:name w:val=" Char Char Char Char Char Char Char Char Char Char Char Char Char Char Char Char Char Char Char"/>
    <w:basedOn w:val="1"/>
    <w:qFormat/>
    <w:uiPriority w:val="0"/>
    <w:pPr>
      <w:adjustRightInd w:val="0"/>
      <w:spacing w:line="360" w:lineRule="auto"/>
    </w:pPr>
  </w:style>
  <w:style w:type="character" w:customStyle="1" w:styleId="60">
    <w:name w:val="gwds_nopic"/>
    <w:basedOn w:val="8"/>
    <w:uiPriority w:val="0"/>
  </w:style>
  <w:style w:type="character" w:customStyle="1" w:styleId="61">
    <w:name w:val="gwds_nopic1"/>
    <w:basedOn w:val="8"/>
    <w:uiPriority w:val="0"/>
  </w:style>
  <w:style w:type="character" w:customStyle="1" w:styleId="62">
    <w:name w:val="gwds_nopic2"/>
    <w:basedOn w:val="8"/>
    <w:uiPriority w:val="0"/>
  </w:style>
  <w:style w:type="paragraph" w:customStyle="1" w:styleId="63">
    <w:name w:val="Char"/>
    <w:basedOn w:val="1"/>
    <w:qFormat/>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2021-11-16T07:10:16Z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D62CBC19245749F19CB955315642177E</vt:lpwstr>
  </property>
</Properties>
</file>