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ind w:firstLine="640" w:firstLineChars="200"/>
        <w:rPr>
          <w:rFonts w:hint="eastAsia" w:ascii="楷体_GB2312" w:hAnsi="楷体_GB2312" w:eastAsia="楷体_GB2312" w:cs="楷体_GB2312"/>
          <w:color w:val="333333"/>
          <w:sz w:val="32"/>
          <w:szCs w:val="32"/>
          <w:shd w:val="clear" w:color="auto" w:fill="FFFFFF"/>
          <w:lang w:val="en-US" w:eastAsia="zh-CN"/>
        </w:rPr>
      </w:pPr>
    </w:p>
    <w:p>
      <w:pPr>
        <w:jc w:val="center"/>
        <w:rPr>
          <w:rFonts w:hint="eastAsia" w:asciiTheme="minorEastAsia" w:hAnsiTheme="minorEastAsia" w:cstheme="minorEastAsia"/>
          <w:sz w:val="44"/>
          <w:szCs w:val="44"/>
          <w:lang w:val="en-US" w:eastAsia="zh-CN"/>
        </w:rPr>
      </w:pPr>
      <w:r>
        <w:rPr>
          <w:rFonts w:hint="eastAsia" w:asciiTheme="minorEastAsia" w:hAnsiTheme="minorEastAsia" w:cstheme="minorEastAsia"/>
          <w:sz w:val="44"/>
          <w:szCs w:val="44"/>
          <w:lang w:val="en-US" w:eastAsia="zh-CN"/>
        </w:rPr>
        <w:t>海南省人民政府关于将部分省级管理权限调整由重点园区管理机构实施的决定</w:t>
      </w:r>
    </w:p>
    <w:p>
      <w:pPr>
        <w:ind w:firstLine="640" w:firstLineChars="200"/>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w:t>
      </w:r>
      <w:r>
        <w:rPr>
          <w:rFonts w:hint="eastAsia" w:ascii="楷体_GB2312" w:hAnsi="楷体_GB2312" w:eastAsia="楷体_GB2312" w:cs="楷体_GB2312"/>
          <w:color w:val="333333"/>
          <w:sz w:val="32"/>
          <w:szCs w:val="32"/>
          <w:shd w:val="clear" w:color="auto" w:fill="FFFFFF"/>
        </w:rPr>
        <w:t>2021年5月10日七届海南省人民政府第73次常务会议审议通过</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2021年6月22日海南省人民政府令第300号</w:t>
      </w:r>
      <w:r>
        <w:rPr>
          <w:rFonts w:hint="eastAsia" w:ascii="楷体_GB2312" w:hAnsi="楷体_GB2312" w:eastAsia="楷体_GB2312" w:cs="楷体_GB2312"/>
          <w:color w:val="333333"/>
          <w:sz w:val="32"/>
          <w:szCs w:val="32"/>
          <w:shd w:val="clear" w:color="auto" w:fill="FFFFFF"/>
          <w:lang w:val="en-US" w:eastAsia="zh-CN"/>
        </w:rPr>
        <w:t>公布)</w:t>
      </w:r>
    </w:p>
    <w:p>
      <w:pPr>
        <w:ind w:firstLine="640" w:firstLineChars="200"/>
        <w:rPr>
          <w:rFonts w:hint="eastAsia" w:ascii="仿宋_GB2312" w:hAnsi="仿宋_GB2312" w:eastAsia="黑体" w:cs="仿宋_GB2312"/>
          <w:color w:val="333333"/>
          <w:sz w:val="32"/>
          <w:szCs w:val="32"/>
          <w:shd w:val="clear" w:color="auto" w:fill="FFFFFF"/>
          <w:lang w:val="en-US" w:eastAsia="zh-CN"/>
        </w:rPr>
      </w:pPr>
    </w:p>
    <w:p>
      <w:pPr>
        <w:pStyle w:val="6"/>
        <w:keepNext w:val="0"/>
        <w:keepLines w:val="0"/>
        <w:widowControl/>
        <w:suppressLineNumbers w:val="0"/>
        <w:spacing w:before="0" w:beforeAutospacing="0" w:after="210" w:afterAutospacing="0" w:line="450" w:lineRule="atLeast"/>
        <w:ind w:firstLine="640" w:firstLineChars="200"/>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为营造法治化、国际化、便利化的营商环境，促进重点园区开发建设，充分向重点园区赋权，根据有关法律法规和《海南省人民代表大会常务委员会关于海南自由贸易港洋浦经济开发区等重点园区管理体制的决定》，结合海南自由贸易港建设实际，省人民政府决定将57项省级管理权限调整由相关重点园区管理机构实施。在重点园区范围内，市、县、自治县人民政府不再实施相同管理权限。</w:t>
      </w:r>
    </w:p>
    <w:p>
      <w:pPr>
        <w:pStyle w:val="6"/>
        <w:keepNext w:val="0"/>
        <w:keepLines w:val="0"/>
        <w:widowControl/>
        <w:suppressLineNumbers w:val="0"/>
        <w:spacing w:before="0" w:beforeAutospacing="0" w:after="210" w:afterAutospacing="0" w:line="450" w:lineRule="atLeast"/>
        <w:ind w:firstLine="640" w:firstLineChars="200"/>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原实施机关应当加强对重点园区管理机构的业务培训指导，强化事中事后监管，切实做到放管结合。其中，对委托的省级管理权限，委托机关应刻制并授权承接机关使用审批印章。承接的重点园区管理机构应当周密组织，落实责任，建立承接管理权限的有效机制，做到规范有序，确保严格依法行使职权。原实施机关应当适时对调整实施事项进行评估，对实践证明可行的，继续加强事中事后监管；经评估施行效果不好的，及时按照法定程序收回相关管理权限。</w:t>
      </w:r>
    </w:p>
    <w:p>
      <w:pPr>
        <w:pStyle w:val="6"/>
        <w:keepNext w:val="0"/>
        <w:keepLines w:val="0"/>
        <w:widowControl/>
        <w:suppressLineNumbers w:val="0"/>
        <w:spacing w:before="0" w:beforeAutospacing="0" w:after="210" w:afterAutospacing="0" w:line="450" w:lineRule="atLeast"/>
        <w:ind w:firstLine="640" w:firstLineChars="200"/>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本决定自公布之日起施行</w:t>
      </w:r>
      <w:bookmarkStart w:id="0" w:name="_GoBack"/>
      <w:bookmarkEnd w:id="0"/>
      <w:r>
        <w:rPr>
          <w:rFonts w:hint="eastAsia" w:ascii="仿宋_GB2312" w:hAnsi="仿宋_GB2312" w:eastAsia="仿宋_GB2312" w:cs="仿宋_GB2312"/>
          <w:color w:val="333333"/>
          <w:kern w:val="2"/>
          <w:sz w:val="32"/>
          <w:szCs w:val="32"/>
          <w:shd w:val="clear" w:color="auto" w:fill="FFFFFF"/>
          <w:lang w:val="en-US" w:eastAsia="zh-CN" w:bidi="ar-SA"/>
        </w:rPr>
        <w:t>。</w:t>
      </w:r>
    </w:p>
    <w:p>
      <w:pPr>
        <w:pStyle w:val="6"/>
        <w:keepNext w:val="0"/>
        <w:keepLines w:val="0"/>
        <w:widowControl/>
        <w:suppressLineNumbers w:val="0"/>
        <w:spacing w:before="0" w:beforeAutospacing="0" w:after="210" w:afterAutospacing="0" w:line="450" w:lineRule="atLeast"/>
        <w:ind w:firstLine="640" w:firstLineChars="200"/>
        <w:jc w:val="both"/>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附件：调整由重点园区管理机构实施的省级管理权限目录</w:t>
      </w:r>
    </w:p>
    <w:tbl>
      <w:tblPr>
        <w:tblStyle w:val="7"/>
        <w:tblW w:w="9686" w:type="dxa"/>
        <w:jc w:val="center"/>
        <w:tblLayout w:type="fixed"/>
        <w:tblCellMar>
          <w:top w:w="0" w:type="dxa"/>
          <w:left w:w="57" w:type="dxa"/>
          <w:bottom w:w="0" w:type="dxa"/>
          <w:right w:w="57" w:type="dxa"/>
        </w:tblCellMar>
      </w:tblPr>
      <w:tblGrid>
        <w:gridCol w:w="615"/>
        <w:gridCol w:w="3182"/>
        <w:gridCol w:w="1644"/>
        <w:gridCol w:w="2989"/>
        <w:gridCol w:w="1256"/>
      </w:tblGrid>
      <w:tr>
        <w:tblPrEx>
          <w:tblCellMar>
            <w:top w:w="0" w:type="dxa"/>
            <w:left w:w="57" w:type="dxa"/>
            <w:bottom w:w="0" w:type="dxa"/>
            <w:right w:w="57" w:type="dxa"/>
          </w:tblCellMar>
        </w:tblPrEx>
        <w:trPr>
          <w:trHeight w:val="646" w:hRule="atLeast"/>
          <w:tblHeader/>
          <w:jc w:val="center"/>
        </w:trPr>
        <w:tc>
          <w:tcPr>
            <w:tcW w:w="615" w:type="dxa"/>
            <w:tcBorders>
              <w:top w:val="single" w:color="000000" w:sz="4" w:space="0"/>
              <w:left w:val="single" w:color="000000" w:sz="4" w:space="0"/>
              <w:bottom w:val="single" w:color="auto" w:sz="4" w:space="0"/>
              <w:right w:val="single" w:color="000000" w:sz="4" w:space="0"/>
            </w:tcBorders>
            <w:noWrap w:val="0"/>
            <w:vAlign w:val="center"/>
          </w:tcPr>
          <w:p>
            <w:pPr>
              <w:spacing w:line="600" w:lineRule="exact"/>
              <w:jc w:val="center"/>
              <w:rPr>
                <w:rFonts w:hint="eastAsia" w:ascii="黑体" w:eastAsia="黑体"/>
              </w:rPr>
            </w:pPr>
            <w:r>
              <w:rPr>
                <w:rFonts w:hint="eastAsia" w:ascii="黑体" w:eastAsia="黑体"/>
              </w:rPr>
              <w:t>序号</w:t>
            </w:r>
          </w:p>
        </w:tc>
        <w:tc>
          <w:tcPr>
            <w:tcW w:w="3182" w:type="dxa"/>
            <w:tcBorders>
              <w:top w:val="single" w:color="000000" w:sz="4" w:space="0"/>
              <w:left w:val="single" w:color="000000" w:sz="4" w:space="0"/>
              <w:bottom w:val="single" w:color="auto" w:sz="4" w:space="0"/>
              <w:right w:val="single" w:color="000000" w:sz="4" w:space="0"/>
            </w:tcBorders>
            <w:noWrap w:val="0"/>
            <w:vAlign w:val="center"/>
          </w:tcPr>
          <w:p>
            <w:pPr>
              <w:spacing w:line="600" w:lineRule="exact"/>
              <w:ind w:firstLine="632"/>
              <w:jc w:val="center"/>
              <w:rPr>
                <w:rFonts w:hint="eastAsia" w:ascii="黑体" w:eastAsia="黑体"/>
              </w:rPr>
            </w:pPr>
            <w:r>
              <w:rPr>
                <w:rFonts w:hint="eastAsia" w:ascii="黑体" w:eastAsia="黑体"/>
              </w:rPr>
              <w:t>权限名称</w:t>
            </w:r>
          </w:p>
        </w:tc>
        <w:tc>
          <w:tcPr>
            <w:tcW w:w="1644" w:type="dxa"/>
            <w:tcBorders>
              <w:top w:val="single" w:color="000000" w:sz="4" w:space="0"/>
              <w:left w:val="single" w:color="000000" w:sz="4" w:space="0"/>
              <w:bottom w:val="single" w:color="auto" w:sz="4" w:space="0"/>
              <w:right w:val="single" w:color="000000" w:sz="4" w:space="0"/>
            </w:tcBorders>
            <w:noWrap w:val="0"/>
            <w:vAlign w:val="center"/>
          </w:tcPr>
          <w:p>
            <w:pPr>
              <w:spacing w:line="600" w:lineRule="exact"/>
              <w:jc w:val="center"/>
              <w:rPr>
                <w:rFonts w:hint="eastAsia" w:ascii="黑体" w:eastAsia="黑体"/>
              </w:rPr>
            </w:pPr>
            <w:r>
              <w:rPr>
                <w:rFonts w:hint="eastAsia" w:ascii="黑体" w:eastAsia="黑体"/>
              </w:rPr>
              <w:t>原实施</w:t>
            </w:r>
          </w:p>
          <w:p>
            <w:pPr>
              <w:spacing w:line="600" w:lineRule="exact"/>
              <w:jc w:val="center"/>
              <w:rPr>
                <w:rFonts w:hint="eastAsia" w:ascii="黑体" w:eastAsia="黑体"/>
              </w:rPr>
            </w:pPr>
            <w:r>
              <w:rPr>
                <w:rFonts w:hint="eastAsia" w:ascii="黑体" w:eastAsia="黑体"/>
              </w:rPr>
              <w:t>机关</w:t>
            </w:r>
          </w:p>
        </w:tc>
        <w:tc>
          <w:tcPr>
            <w:tcW w:w="2989" w:type="dxa"/>
            <w:tcBorders>
              <w:top w:val="single" w:color="000000" w:sz="4" w:space="0"/>
              <w:left w:val="single" w:color="000000" w:sz="4" w:space="0"/>
              <w:bottom w:val="single" w:color="auto" w:sz="4" w:space="0"/>
              <w:right w:val="single" w:color="000000" w:sz="4" w:space="0"/>
            </w:tcBorders>
            <w:noWrap w:val="0"/>
            <w:vAlign w:val="center"/>
          </w:tcPr>
          <w:p>
            <w:pPr>
              <w:spacing w:line="600" w:lineRule="exact"/>
              <w:ind w:firstLine="632"/>
              <w:jc w:val="center"/>
              <w:rPr>
                <w:rFonts w:hint="eastAsia" w:ascii="黑体" w:eastAsia="黑体"/>
              </w:rPr>
            </w:pPr>
            <w:r>
              <w:rPr>
                <w:rFonts w:hint="eastAsia" w:ascii="黑体" w:eastAsia="黑体"/>
              </w:rPr>
              <w:t>承接园区</w:t>
            </w:r>
          </w:p>
        </w:tc>
        <w:tc>
          <w:tcPr>
            <w:tcW w:w="1256" w:type="dxa"/>
            <w:tcBorders>
              <w:top w:val="single" w:color="000000" w:sz="4" w:space="0"/>
              <w:left w:val="single" w:color="000000" w:sz="4" w:space="0"/>
              <w:bottom w:val="single" w:color="auto" w:sz="4" w:space="0"/>
              <w:right w:val="single" w:color="000000" w:sz="4" w:space="0"/>
            </w:tcBorders>
            <w:noWrap w:val="0"/>
            <w:vAlign w:val="center"/>
          </w:tcPr>
          <w:p>
            <w:pPr>
              <w:spacing w:line="600" w:lineRule="exact"/>
              <w:jc w:val="center"/>
              <w:rPr>
                <w:rFonts w:hint="eastAsia" w:ascii="黑体" w:eastAsia="黑体"/>
              </w:rPr>
            </w:pPr>
            <w:r>
              <w:rPr>
                <w:rFonts w:hint="eastAsia" w:ascii="黑体" w:eastAsia="黑体"/>
              </w:rPr>
              <w:t>调整</w:t>
            </w:r>
          </w:p>
          <w:p>
            <w:pPr>
              <w:spacing w:line="600" w:lineRule="exact"/>
              <w:jc w:val="center"/>
              <w:rPr>
                <w:rFonts w:hint="eastAsia" w:ascii="黑体" w:eastAsia="黑体"/>
              </w:rPr>
            </w:pPr>
            <w:r>
              <w:rPr>
                <w:rFonts w:hint="eastAsia" w:ascii="黑体" w:eastAsia="黑体"/>
              </w:rPr>
              <w:t>方式</w:t>
            </w:r>
          </w:p>
        </w:tc>
      </w:tr>
      <w:tr>
        <w:tblPrEx>
          <w:tblCellMar>
            <w:top w:w="0" w:type="dxa"/>
            <w:left w:w="57" w:type="dxa"/>
            <w:bottom w:w="0" w:type="dxa"/>
            <w:right w:w="57" w:type="dxa"/>
          </w:tblCellMar>
        </w:tblPrEx>
        <w:trPr>
          <w:trHeight w:val="6171"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00" w:lineRule="exact"/>
              <w:jc w:val="center"/>
            </w:pPr>
            <w:r>
              <w:t>1</w:t>
            </w:r>
          </w:p>
        </w:tc>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420" w:firstLineChars="200"/>
            </w:pPr>
            <w:r>
              <w:t>农用地转用、未利用地转用与土地征收及调整农用地转用批准文件中明确的土地建设用途的审批（不包括国务院授权省政府的农用地转用与土地征收审批）</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pPr>
            <w:r>
              <w:t>省政府</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420" w:firstLineChars="200"/>
            </w:pPr>
            <w:r>
              <w:t>海口江东新区、海口国家高新技术产业开发区、三亚崖州湾科技城、三亚中央商务区、文昌国际航天城、陵水黎安国际教育创新试验区、海南生态软件园、博鳌乐城国际医疗旅游先行区</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pPr>
            <w:r>
              <w:t>委托</w:t>
            </w:r>
          </w:p>
        </w:tc>
      </w:tr>
      <w:tr>
        <w:tblPrEx>
          <w:tblCellMar>
            <w:top w:w="0" w:type="dxa"/>
            <w:left w:w="57" w:type="dxa"/>
            <w:bottom w:w="0" w:type="dxa"/>
            <w:right w:w="57" w:type="dxa"/>
          </w:tblCellMar>
        </w:tblPrEx>
        <w:trPr>
          <w:trHeight w:val="3415"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pPr>
            <w:r>
              <w:t>2</w:t>
            </w:r>
          </w:p>
        </w:tc>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420" w:firstLineChars="200"/>
            </w:pPr>
            <w:r>
              <w:t>海域使用申请审批（不含填海）</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pPr>
            <w:r>
              <w:t>省政府</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420" w:firstLineChars="200"/>
            </w:pPr>
            <w:r>
              <w:t>三亚崖州湾科技城、三亚中央商务区、文昌国际航天城、陵水黎安国际教育创新试验区</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pPr>
            <w:r>
              <w:t>委托</w:t>
            </w:r>
          </w:p>
        </w:tc>
      </w:tr>
      <w:tr>
        <w:tblPrEx>
          <w:tblCellMar>
            <w:top w:w="0" w:type="dxa"/>
            <w:left w:w="57" w:type="dxa"/>
            <w:bottom w:w="0" w:type="dxa"/>
            <w:right w:w="57" w:type="dxa"/>
          </w:tblCellMar>
        </w:tblPrEx>
        <w:trPr>
          <w:trHeight w:val="1134" w:hRule="atLeast"/>
          <w:jc w:val="center"/>
        </w:trPr>
        <w:tc>
          <w:tcPr>
            <w:tcW w:w="61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w:t>
            </w:r>
          </w:p>
        </w:tc>
        <w:tc>
          <w:tcPr>
            <w:tcW w:w="318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spacing w:line="600" w:lineRule="exact"/>
              <w:ind w:firstLine="420" w:firstLineChars="200"/>
            </w:pPr>
            <w:r>
              <w:t>国际集装箱船、普通货船运输业务备案</w:t>
            </w:r>
          </w:p>
        </w:tc>
        <w:tc>
          <w:tcPr>
            <w:tcW w:w="1644"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省交通运输厅</w:t>
            </w:r>
          </w:p>
        </w:tc>
        <w:tc>
          <w:tcPr>
            <w:tcW w:w="2989"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洋浦经济开发区</w:t>
            </w:r>
          </w:p>
        </w:tc>
        <w:tc>
          <w:tcPr>
            <w:tcW w:w="1256" w:type="dxa"/>
            <w:tcBorders>
              <w:top w:val="single" w:color="auto"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600" w:lineRule="exact"/>
              <w:ind w:firstLine="420" w:firstLineChars="200"/>
            </w:pPr>
            <w:r>
              <w:t>国内船舶管理业许可及相关配套审批权限</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省交通运输厅</w:t>
            </w:r>
          </w:p>
        </w:tc>
        <w:tc>
          <w:tcPr>
            <w:tcW w:w="29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洋浦经济开发区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58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600" w:lineRule="exact"/>
              <w:ind w:firstLine="420" w:firstLineChars="200"/>
            </w:pPr>
            <w:r>
              <w:t>省际普通货船运输企业、省内水路运输企业《国内水路运输经营许可证》核发（办理、换发、补办、注销）和相关备案</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省交通运输厅</w:t>
            </w:r>
          </w:p>
        </w:tc>
        <w:tc>
          <w:tcPr>
            <w:tcW w:w="29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洋浦经济开发区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332"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600" w:lineRule="exact"/>
              <w:ind w:firstLine="420" w:firstLineChars="200"/>
            </w:pPr>
            <w:r>
              <w:t>省际普通货船运输企业、省内水路运输企业《船舶营业运输证》核发（办理、换发、注销）</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省交通运输厅</w:t>
            </w:r>
          </w:p>
        </w:tc>
        <w:tc>
          <w:tcPr>
            <w:tcW w:w="29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洋浦经济开发区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36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600" w:lineRule="exact"/>
              <w:ind w:firstLine="420" w:firstLineChars="200"/>
            </w:pPr>
            <w:r>
              <w:t>开展放射诊疗、核医学工作许可（首次发放、校验、变更）</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省卫生健康委员会</w:t>
            </w:r>
          </w:p>
        </w:tc>
        <w:tc>
          <w:tcPr>
            <w:tcW w:w="29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ind w:firstLine="632"/>
              <w:jc w:val="left"/>
            </w:pPr>
            <w:r>
              <w:t>博鳌乐城国际医疗旅游先行区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72"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8</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外国医疗团体来华短期行医审批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省卫生健康委员会</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博鳌乐城国际医疗旅游先行区、海南生态软件园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2752"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9</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建设项目(不含核与辐射类)环境影响报告书（表）审批许可</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省生态环境厅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ind w:firstLine="632"/>
            </w:pPr>
            <w:r>
              <w:t>洋浦经济开发区、海口江东新区、海口国家高新技术产业开发区、三亚崖州湾科技城、三亚中央商务区、文昌国际航天城、陵水黎安国际教育创新试验区、海南生态软件园、博鳌乐城国际医疗旅游先行区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508"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10</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海洋工程建设项目环境影响报告书（表）核准</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省生态环境厅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ind w:firstLine="632"/>
            </w:pPr>
            <w:r>
              <w:t>洋浦经济开发区、三亚崖州湾科技城、三亚中央商务区、陵水黎安国际教育创新试验区、文昌国际航天城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4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11</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海洋工程建设项目环境保护设施验收审批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省生态环境厅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三亚崖州湾科技城、三亚中央商务区、陵水黎安国际教育创新试验区、文昌国际航天城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448"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12</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拆除或者闲置海洋工程建设项目环境保护设施审批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省生态环境厅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洋浦经济开发区、三亚崖州湾科技城、三亚中央商务区、陵水黎安国际教育创新试验区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90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13</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勘察企业资质核准（乙级；含首次、增项、延续、变更核准）</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省住房城乡建设厅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洋浦经济开发区、海口江东新区、海口国家高新技术产业开发区、海口综合保税区、陵水黎安国际教育创新试验区、文昌国际航天城、海南生态软件园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5931"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14</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设计企业资质核准（省级权限的乙级及以下；含首次、增项、延续、变更核准）</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省住房城乡建设厅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洋浦经济开发区、海口江东新区、海口国家高新技术产业开发区、海口综合保税区、文昌国际航天城、陵水黎安国际教育创新试验区、海南生态软件园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5488"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15</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建筑业企业资质核准（省级权限的施工总承包二级、三级，专业承包一级、二级；含首次、增项、延续、变更核准）</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省住房城乡建设厅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洋浦经济开发区、海口江东新区、海口国家高新技术产业开发区、海口综合保税区、文昌国际航天城、陵水黎安国际教育创新试验区、海南生态软件园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5931"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pPr>
            <w:r>
              <w:t>16</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监理企业资质核准（乙级及以下；含首次、增项、延续、变更核准）</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省住房城乡建设厅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洋浦经济开发区、海口江东新区、海口国家高新技术产业开发区、海口综合保税区、文昌国际航天城、陵水黎安国际教育创新试验区、海南生态软件园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5488"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pPr>
            <w:r>
              <w:t>17</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建设工程质量检测机构资质核准（含首次、增项、延续、变更核准）</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省住房城乡建设厅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洋浦经济开发区、海口江东新区、海口国家高新技术产业开发区、海口综合保税区、文昌国际航天城、陵水黎安国际教育创新试验区、海南生态软件园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572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18</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施工图审查机构确定（含首次、延续、变更）</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省住房城乡建设厅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洋浦经济开发区、海口江东新区、海口国家高新技术产业开发区、海口综合保税区、三亚崖州湾科技城、文昌国际航天城、陵水黎安国际教育创新试验区、海南生态软件园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5621"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19</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建设行业注册类人员（二级注册建造师、二级注册结构工程师、二级注册造价师）执业资格的确认（初始、延续、变更注册）</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省住房城乡建设厅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洋浦经济开发区、海口江东新区、海口国家高新技术产业开发区、海口综合保税区、三亚中央商务区、陵水黎安国际教育创新试验区、海南生态软件园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20</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房地产估价机构备案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省住房城乡建设厅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海口江东新区、海口国家高新技术产业开发区、三亚崖州湾科技城、三亚中央商务区、文昌国际航天城、陵水黎安国际教育创新试验区、海南生态软件园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21</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肥料管理登记</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省农业农村厅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三亚崖州湾科技城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22</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草种进出口经营许可证的初审</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省农业农村厅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三亚崖州湾科技城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23</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远洋渔业船舶国籍证书签发</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省农业农村厅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三亚崖州湾科技城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24</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农作物种子进出口许可审核</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省农业农村厅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三亚崖州湾科技城、文昌国际航天城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25</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一级社会体育指导员技术等级称号审批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三亚崖州湾科技城、陵水黎安国际教育创新试验区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205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26</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境外非政府组织设立体育代表机构审批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海口国家高新技术产业开发区、三亚中央商务区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2846"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27</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在境内设立的境外非政府组织体育代表机构开展临时体育活动审批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海口国家高新技术产业开发区、三亚中央商务区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2846"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28</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未在境内登记设立代表机构的境外非政府组织在境内开展临时体育活动审批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海口国家高新技术产业开发区、三亚中央商务区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322"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29</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在自贸试验区内的外商投资经营的演出经纪机构申请从事营业性演出经营活动审批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海口国家高新技术产业开发区、三亚中央商务区、陵水黎安国际教育创新试验区、海南生态软件园、文昌国际航天城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30</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在自贸试验区内的外商投资经营演出场所经营单位申请从事演出场所经营活动审批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海口国家高新技术产业开发区、三亚中央商务区、陵水黎安国际教育创新试验区、文昌国际航天城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592"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31</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在自贸试验区内的外商独资经营的娱乐场所申请从事娱乐场所经营活动审批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海口国家高新技术产业开发区、文昌国际航天城、陵水黎安国际教育创新试验区、海南生态软件园、博鳌乐城国际医疗旅游先行区、三亚中央商务区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委托</w:t>
            </w:r>
          </w:p>
        </w:tc>
      </w:tr>
      <w:tr>
        <w:tblPrEx>
          <w:tblCellMar>
            <w:top w:w="0" w:type="dxa"/>
            <w:left w:w="57" w:type="dxa"/>
            <w:bottom w:w="0" w:type="dxa"/>
            <w:right w:w="57" w:type="dxa"/>
          </w:tblCellMar>
        </w:tblPrEx>
        <w:trPr>
          <w:trHeight w:val="1192"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32</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外商投资企业申请从事娱乐场所经营活动审批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洋浦经济开发区、三亚中央商务区、陵水黎安国际教育创新试验区、海南生态软件园、文昌国际航天城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委托</w:t>
            </w:r>
          </w:p>
        </w:tc>
      </w:tr>
      <w:tr>
        <w:tblPrEx>
          <w:tblCellMar>
            <w:top w:w="0" w:type="dxa"/>
            <w:left w:w="57" w:type="dxa"/>
            <w:bottom w:w="0" w:type="dxa"/>
            <w:right w:w="57" w:type="dxa"/>
          </w:tblCellMar>
        </w:tblPrEx>
        <w:trPr>
          <w:trHeight w:val="3891"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33</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外商在海南投资设立文艺表演团体（中方控股）审批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海口国家高新技术产业开发区、三亚中央商务区、陵水黎安国际教育创新试验区、文昌国际航天城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5498"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34</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旅游和文体企业创新创业人才确认</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省旅游和文化广电体育厅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海口江东新区、三亚崖州湾科技城、三亚中央商务区、陵水黎安国际教育创新试验区、海南生态软件园、博鳌乐城国际医疗旅游先行区、文昌国际航天城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816"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35</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民办非企业单位理事、监事备案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省民政厅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洋浦经济开发区、文昌国际航天城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676"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36</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ind w:firstLine="632"/>
            </w:pPr>
            <w:r>
              <w:t>养老机构备案（境外组织和个人独资或者与境内组织和个人合资、合作设立的养老机构;省级以上政府财政资金投资兴办的养老机构）</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pPr>
            <w:r>
              <w:t>省民政厅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pPr>
            <w:r>
              <w:t>洋浦经济开发区、博鳌乐城国家医疗旅游先行区、海口江东新区、海口国家高新技术产业开发区、三亚崖州湾科技城、三亚中央商务区、文昌国际航天城、陵水黎安国际教育创新试验区、海南生态软件园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69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37</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ind w:firstLine="632"/>
            </w:pPr>
            <w:r>
              <w:t>特种作业人员操作资格证核发</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pPr>
            <w:r>
              <w:t>省应急管理厅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pPr>
            <w:r>
              <w:t>洋浦经济开发区、海口江东新区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38</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ind w:firstLine="632"/>
            </w:pPr>
            <w:r>
              <w:t>非煤矿山、危险化学品、烟花爆竹、金属冶炼等生产经营单位主要负责人和安全生产管理人员的安全生产合格证核发（中央企业、省属生产经营单位除外）</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pPr>
            <w:r>
              <w:t>省应急管理厅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pPr>
            <w:r>
              <w:t>洋浦经济开发区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5523"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632"/>
              <w:jc w:val="center"/>
            </w:pPr>
          </w:p>
          <w:p>
            <w:pPr>
              <w:spacing w:line="600" w:lineRule="exact"/>
              <w:jc w:val="center"/>
            </w:pPr>
            <w:r>
              <w:t>39</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高新技术企业认定过程中专家评审</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省高新技术企业认定委员会（省科技厅、省财政厅、省税务局）</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洋浦经济开发区、海南生态软件园、博鳌乐城国际医疗旅游先行区、文昌国际航天城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委托</w:t>
            </w:r>
          </w:p>
        </w:tc>
      </w:tr>
      <w:tr>
        <w:tblPrEx>
          <w:tblCellMar>
            <w:top w:w="0" w:type="dxa"/>
            <w:left w:w="57" w:type="dxa"/>
            <w:bottom w:w="0" w:type="dxa"/>
            <w:right w:w="57" w:type="dxa"/>
          </w:tblCellMar>
        </w:tblPrEx>
        <w:trPr>
          <w:trHeight w:val="2642"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40</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实验动物生产和使用许可</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省科技厅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三亚崖州湾科技城、文昌航天城、博鳌乐城国际医疗旅游先行区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委托</w:t>
            </w:r>
          </w:p>
        </w:tc>
      </w:tr>
      <w:tr>
        <w:tblPrEx>
          <w:tblCellMar>
            <w:top w:w="0" w:type="dxa"/>
            <w:left w:w="57" w:type="dxa"/>
            <w:bottom w:w="0" w:type="dxa"/>
            <w:right w:w="57" w:type="dxa"/>
          </w:tblCellMar>
        </w:tblPrEx>
        <w:trPr>
          <w:trHeight w:val="324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41</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计量标准器具核准</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省市场监管局</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洋浦经济开发区、海口国家高新技术产业开发区、海口综合保税区、文昌国际航天城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委托</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42</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承担国家计量检定、测试任务的机构的授权</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省市场监管局</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pPr>
            <w:r>
              <w:t>洋浦经济开发区、海口国家高新技术产业开发区、海口综合保税区、文昌国际航天城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委托</w:t>
            </w:r>
          </w:p>
        </w:tc>
      </w:tr>
      <w:tr>
        <w:tblPrEx>
          <w:tblCellMar>
            <w:top w:w="0" w:type="dxa"/>
            <w:left w:w="57" w:type="dxa"/>
            <w:bottom w:w="0" w:type="dxa"/>
            <w:right w:w="57" w:type="dxa"/>
          </w:tblCellMar>
        </w:tblPrEx>
        <w:trPr>
          <w:trHeight w:val="982"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43</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企业投资气电站项目备案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rPr>
            </w:pPr>
            <w:r>
              <w:t>省发展改革委</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pPr>
            <w:r>
              <w:t>洋浦经济开发区、海口江东新区、海口国家高新技术产业开发区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787"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44</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企业投资热电站（含自备电站）项目备案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rPr>
            </w:pPr>
            <w:r>
              <w:t>省发展改革委</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pPr>
            <w:r>
              <w:t>洋浦经济开发区、海口国家高新技术产业开发区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989"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45</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企业投资电网工程项目备案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rPr>
            </w:pPr>
            <w:r>
              <w:t>省发展改革委</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pPr>
            <w:r>
              <w:t>洋浦经济开发区、海口江东新区、海口国家高新技术产业开发区、三亚崖州湾科技城、陵水黎安国际教育创新试验区、海南生态软件园、文昌国际航天城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30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46</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企业投资非异地改扩建进口液化天然气接收、储运设施项目备案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rPr>
            </w:pPr>
            <w:r>
              <w:t>省发展改革委</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洋浦经济开发区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510"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47</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企业投资输油管网项目备案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rPr>
            </w:pPr>
            <w:r>
              <w:t>省发展改革委</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洋浦经济开发区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48</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企业投资输气管网项目备案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rPr>
            </w:pPr>
            <w:r>
              <w:t>省发展改革委</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洋浦经济开发区、海口江东新区、海口国家高新技术产业开发区、三亚崖州湾科技城、陵水黎安国际教育创新试验区、海南生态软件园、文昌国际航天城</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49</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企业投资变性燃料乙醇项目备案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rPr>
            </w:pPr>
            <w:r>
              <w:t>省发展改革委</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洋浦经济开发区、海口国家高新技术产业开发区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50</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企业投资生物柴油项目备案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rPr>
            </w:pPr>
            <w:r>
              <w:t>省发展改革委</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pPr>
            <w:r>
              <w:t>洋浦经济开发区、海口国家高新技术产业开发区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51</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工业和信息化企业人才落户确认证明</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省工业和信息化厅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pPr>
            <w:r>
              <w:t>洋浦经济开发区、海口江东新区、海口国家高新技术产业开发区、三亚崖州湾科技城、三亚中央商务区、文昌国际航天城、陵水黎安国际教育创新试验区、海南生态软件园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52</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非政府投资的工业高新技术信息产业新建和技改项目备案</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省工业和信息化厅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pPr>
            <w:r>
              <w:t>洋浦经济开发区、海口江东新区、海口国家高新技术产业开发区、海口综合保税区、三亚崖州湾科技城、文昌国际航天城、陵水黎安国际教育创新试验区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53</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420" w:firstLineChars="200"/>
            </w:pPr>
            <w:r>
              <w:t>改变水利工程设施用途审批</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省水务厅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632"/>
              <w:jc w:val="left"/>
            </w:pPr>
            <w:r>
              <w:t>文昌国际航天城、海南生态软件园</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54</w:t>
            </w:r>
          </w:p>
        </w:tc>
        <w:tc>
          <w:tcPr>
            <w:tcW w:w="31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ind w:firstLine="420" w:firstLineChars="200"/>
            </w:pPr>
            <w:r>
              <w:t>设立民办中等职业学校审批（含变更、换证、终止、注销）</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省教育厅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632"/>
              <w:jc w:val="left"/>
            </w:pPr>
            <w:r>
              <w:t>洋浦经济开发区、海口江东新区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55</w:t>
            </w:r>
          </w:p>
        </w:tc>
        <w:tc>
          <w:tcPr>
            <w:tcW w:w="31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ind w:firstLine="420" w:firstLineChars="200"/>
            </w:pPr>
            <w:r>
              <w:t>设立民办普通高中审批（含变更、换证、终止、注销）</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省教育厅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632"/>
              <w:jc w:val="left"/>
            </w:pPr>
            <w:r>
              <w:t>洋浦经济开发区、海口江东新区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56</w:t>
            </w:r>
          </w:p>
        </w:tc>
        <w:tc>
          <w:tcPr>
            <w:tcW w:w="31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ind w:firstLine="420" w:firstLineChars="200"/>
            </w:pPr>
            <w:r>
              <w:t>设立公办中等职业学校审批（含筹设、变更、终止）</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省教育厅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632"/>
              <w:jc w:val="left"/>
            </w:pPr>
            <w:r>
              <w:t>洋浦经济开发区、海口江东新区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r>
        <w:tblPrEx>
          <w:tblCellMar>
            <w:top w:w="0" w:type="dxa"/>
            <w:left w:w="57" w:type="dxa"/>
            <w:bottom w:w="0" w:type="dxa"/>
            <w:right w:w="57"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pPr>
            <w:r>
              <w:t>57</w:t>
            </w:r>
          </w:p>
        </w:tc>
        <w:tc>
          <w:tcPr>
            <w:tcW w:w="31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ind w:firstLine="420" w:firstLineChars="200"/>
            </w:pPr>
            <w:r>
              <w:t>设立公办普通高中审批（含筹设、变更、终止）</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省教育厅</w:t>
            </w:r>
          </w:p>
        </w:tc>
        <w:tc>
          <w:tcPr>
            <w:tcW w:w="298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ind w:firstLine="632"/>
              <w:jc w:val="left"/>
            </w:pPr>
            <w:r>
              <w:t>洋浦经济开发区、海口江东新区</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pPr>
            <w:r>
              <w:t>下放</w:t>
            </w:r>
          </w:p>
        </w:tc>
      </w:tr>
    </w:tbl>
    <w:p>
      <w:pPr>
        <w:spacing w:line="600" w:lineRule="exact"/>
      </w:pPr>
    </w:p>
    <w:p>
      <w:pPr>
        <w:spacing w:line="600" w:lineRule="exact"/>
      </w:pPr>
    </w:p>
    <w:p>
      <w:pPr>
        <w:spacing w:line="600" w:lineRule="exact"/>
      </w:pPr>
    </w:p>
    <w:p>
      <w:pPr>
        <w:spacing w:line="600" w:lineRule="exact"/>
      </w:pPr>
    </w:p>
    <w:p>
      <w:pPr>
        <w:spacing w:line="600" w:lineRule="exact"/>
      </w:pPr>
    </w:p>
    <w:tbl>
      <w:tblPr>
        <w:tblStyle w:val="7"/>
        <w:tblpPr w:leftFromText="181" w:rightFromText="181" w:tblpXSpec="center" w:tblpYSpec="bottom"/>
        <w:tblOverlap w:val="never"/>
        <w:tblW w:w="0" w:type="auto"/>
        <w:tblInd w:w="0" w:type="dxa"/>
        <w:tblBorders>
          <w:top w:val="single" w:color="auto" w:sz="6"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2"/>
        <w:gridCol w:w="4422"/>
      </w:tblGrid>
      <w:tr>
        <w:tblPrEx>
          <w:tblBorders>
            <w:top w:val="single" w:color="auto" w:sz="6"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exact"/>
        </w:trPr>
        <w:tc>
          <w:tcPr>
            <w:tcW w:w="4422" w:type="dxa"/>
            <w:tcBorders>
              <w:top w:val="single" w:color="auto" w:sz="8" w:space="0"/>
              <w:right w:val="nil"/>
            </w:tcBorders>
            <w:noWrap w:val="0"/>
            <w:vAlign w:val="top"/>
          </w:tcPr>
          <w:p>
            <w:pPr>
              <w:ind w:left="210" w:leftChars="100"/>
              <w:rPr>
                <w:color w:val="000000"/>
                <w:sz w:val="28"/>
              </w:rPr>
            </w:pPr>
          </w:p>
        </w:tc>
        <w:tc>
          <w:tcPr>
            <w:tcW w:w="4422" w:type="dxa"/>
            <w:tcBorders>
              <w:top w:val="single" w:color="auto" w:sz="8" w:space="0"/>
            </w:tcBorders>
            <w:noWrap w:val="0"/>
            <w:vAlign w:val="top"/>
          </w:tcPr>
          <w:p>
            <w:pPr>
              <w:ind w:right="210" w:rightChars="100"/>
              <w:jc w:val="right"/>
              <w:rPr>
                <w:color w:val="000000"/>
                <w:sz w:val="28"/>
              </w:rPr>
            </w:pPr>
          </w:p>
        </w:tc>
      </w:tr>
    </w:tbl>
    <w:p>
      <w:pPr>
        <w:pStyle w:val="6"/>
        <w:keepNext w:val="0"/>
        <w:keepLines w:val="0"/>
        <w:widowControl/>
        <w:suppressLineNumbers w:val="0"/>
        <w:spacing w:before="0" w:beforeAutospacing="0" w:after="210" w:afterAutospacing="0" w:line="450" w:lineRule="atLeast"/>
        <w:jc w:val="both"/>
        <w:rPr>
          <w:rFonts w:hint="default"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海南省人民政府发布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海南省人民政府规章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B0A"/>
    <w:rsid w:val="00172A27"/>
    <w:rsid w:val="00924F73"/>
    <w:rsid w:val="009C356E"/>
    <w:rsid w:val="00D51618"/>
    <w:rsid w:val="019E71BD"/>
    <w:rsid w:val="04B679C3"/>
    <w:rsid w:val="05BD455A"/>
    <w:rsid w:val="06C016CF"/>
    <w:rsid w:val="080F63D8"/>
    <w:rsid w:val="09341458"/>
    <w:rsid w:val="0B0912D7"/>
    <w:rsid w:val="0D210858"/>
    <w:rsid w:val="13F22ABA"/>
    <w:rsid w:val="15115C90"/>
    <w:rsid w:val="152D2DCA"/>
    <w:rsid w:val="1BDF0FE6"/>
    <w:rsid w:val="1C190DAE"/>
    <w:rsid w:val="1CB5104B"/>
    <w:rsid w:val="1DEC284C"/>
    <w:rsid w:val="1E6523AC"/>
    <w:rsid w:val="1F467531"/>
    <w:rsid w:val="21D40FD3"/>
    <w:rsid w:val="22440422"/>
    <w:rsid w:val="22AC33C5"/>
    <w:rsid w:val="23244207"/>
    <w:rsid w:val="244F4E98"/>
    <w:rsid w:val="25CA7857"/>
    <w:rsid w:val="27006440"/>
    <w:rsid w:val="2B224CDF"/>
    <w:rsid w:val="2BB86A0D"/>
    <w:rsid w:val="31A15F24"/>
    <w:rsid w:val="320D1362"/>
    <w:rsid w:val="331A740D"/>
    <w:rsid w:val="395347B5"/>
    <w:rsid w:val="39A232A0"/>
    <w:rsid w:val="39E745AA"/>
    <w:rsid w:val="3B5A6BBB"/>
    <w:rsid w:val="3E565037"/>
    <w:rsid w:val="3E815AAD"/>
    <w:rsid w:val="3E87492C"/>
    <w:rsid w:val="3EDA13A6"/>
    <w:rsid w:val="42F058B7"/>
    <w:rsid w:val="436109F6"/>
    <w:rsid w:val="441A38D4"/>
    <w:rsid w:val="480D76FE"/>
    <w:rsid w:val="49925ABB"/>
    <w:rsid w:val="4BC77339"/>
    <w:rsid w:val="4C9236C5"/>
    <w:rsid w:val="505C172E"/>
    <w:rsid w:val="52F46F0B"/>
    <w:rsid w:val="53D8014D"/>
    <w:rsid w:val="55E064E0"/>
    <w:rsid w:val="572C6D10"/>
    <w:rsid w:val="58FE1654"/>
    <w:rsid w:val="5D7628DD"/>
    <w:rsid w:val="5DC34279"/>
    <w:rsid w:val="608816D1"/>
    <w:rsid w:val="60EF4E7F"/>
    <w:rsid w:val="644438C0"/>
    <w:rsid w:val="64B60C08"/>
    <w:rsid w:val="651E7FAD"/>
    <w:rsid w:val="665233C1"/>
    <w:rsid w:val="68A51E8A"/>
    <w:rsid w:val="6AD9688B"/>
    <w:rsid w:val="6B660497"/>
    <w:rsid w:val="6CC94AC4"/>
    <w:rsid w:val="6D0E3F22"/>
    <w:rsid w:val="712C7A0E"/>
    <w:rsid w:val="714C7B61"/>
    <w:rsid w:val="73D67E93"/>
    <w:rsid w:val="76F77C4B"/>
    <w:rsid w:val="7A6670B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annotation reference"/>
    <w:basedOn w:val="8"/>
    <w:qFormat/>
    <w:uiPriority w:val="0"/>
    <w:rPr>
      <w:sz w:val="21"/>
      <w:szCs w:val="21"/>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grfwico16"/>
    <w:basedOn w:val="8"/>
    <w:qFormat/>
    <w:uiPriority w:val="0"/>
  </w:style>
  <w:style w:type="character" w:customStyle="1" w:styleId="14">
    <w:name w:val="grfwico10"/>
    <w:basedOn w:val="8"/>
    <w:qFormat/>
    <w:uiPriority w:val="0"/>
  </w:style>
  <w:style w:type="character" w:customStyle="1" w:styleId="15">
    <w:name w:val="bsfwico21"/>
    <w:basedOn w:val="8"/>
    <w:uiPriority w:val="0"/>
  </w:style>
  <w:style w:type="character" w:customStyle="1" w:styleId="16">
    <w:name w:val="bsfwico3"/>
    <w:basedOn w:val="8"/>
    <w:qFormat/>
    <w:uiPriority w:val="0"/>
  </w:style>
  <w:style w:type="character" w:customStyle="1" w:styleId="17">
    <w:name w:val="bsfwico5"/>
    <w:basedOn w:val="8"/>
    <w:uiPriority w:val="0"/>
  </w:style>
  <w:style w:type="character" w:customStyle="1" w:styleId="18">
    <w:name w:val="grfwico2"/>
    <w:basedOn w:val="8"/>
    <w:uiPriority w:val="0"/>
  </w:style>
  <w:style w:type="character" w:customStyle="1" w:styleId="19">
    <w:name w:val="grfwico7"/>
    <w:basedOn w:val="8"/>
    <w:qFormat/>
    <w:uiPriority w:val="0"/>
  </w:style>
  <w:style w:type="character" w:customStyle="1" w:styleId="20">
    <w:name w:val="grfwico1"/>
    <w:basedOn w:val="8"/>
    <w:qFormat/>
    <w:uiPriority w:val="0"/>
  </w:style>
  <w:style w:type="character" w:customStyle="1" w:styleId="21">
    <w:name w:val="grfwico3"/>
    <w:basedOn w:val="8"/>
    <w:qFormat/>
    <w:uiPriority w:val="0"/>
  </w:style>
  <w:style w:type="character" w:customStyle="1" w:styleId="22">
    <w:name w:val="hdata"/>
    <w:basedOn w:val="8"/>
    <w:qFormat/>
    <w:uiPriority w:val="0"/>
    <w:rPr>
      <w:color w:val="888888"/>
      <w:sz w:val="18"/>
      <w:szCs w:val="18"/>
    </w:rPr>
  </w:style>
  <w:style w:type="character" w:customStyle="1" w:styleId="23">
    <w:name w:val="grfwico18"/>
    <w:basedOn w:val="8"/>
    <w:qFormat/>
    <w:uiPriority w:val="0"/>
  </w:style>
  <w:style w:type="character" w:customStyle="1" w:styleId="24">
    <w:name w:val="grfwico11"/>
    <w:basedOn w:val="8"/>
    <w:qFormat/>
    <w:uiPriority w:val="0"/>
  </w:style>
  <w:style w:type="character" w:customStyle="1" w:styleId="25">
    <w:name w:val="bsfwico13"/>
    <w:basedOn w:val="8"/>
    <w:qFormat/>
    <w:uiPriority w:val="0"/>
  </w:style>
  <w:style w:type="character" w:customStyle="1" w:styleId="26">
    <w:name w:val="bsfwico8"/>
    <w:basedOn w:val="8"/>
    <w:qFormat/>
    <w:uiPriority w:val="0"/>
  </w:style>
  <w:style w:type="character" w:customStyle="1" w:styleId="27">
    <w:name w:val="grfwico15"/>
    <w:basedOn w:val="8"/>
    <w:uiPriority w:val="0"/>
  </w:style>
  <w:style w:type="character" w:customStyle="1" w:styleId="28">
    <w:name w:val="grfwico4"/>
    <w:basedOn w:val="8"/>
    <w:qFormat/>
    <w:uiPriority w:val="0"/>
  </w:style>
  <w:style w:type="character" w:customStyle="1" w:styleId="29">
    <w:name w:val="hdxdata"/>
    <w:basedOn w:val="8"/>
    <w:qFormat/>
    <w:uiPriority w:val="0"/>
  </w:style>
  <w:style w:type="character" w:customStyle="1" w:styleId="30">
    <w:name w:val="grfwico13"/>
    <w:basedOn w:val="8"/>
    <w:qFormat/>
    <w:uiPriority w:val="0"/>
  </w:style>
  <w:style w:type="character" w:customStyle="1" w:styleId="31">
    <w:name w:val="bsfwico14"/>
    <w:basedOn w:val="8"/>
    <w:qFormat/>
    <w:uiPriority w:val="0"/>
  </w:style>
  <w:style w:type="character" w:customStyle="1" w:styleId="32">
    <w:name w:val="grfwico19"/>
    <w:basedOn w:val="8"/>
    <w:uiPriority w:val="0"/>
  </w:style>
  <w:style w:type="character" w:customStyle="1" w:styleId="33">
    <w:name w:val="bsfwico12"/>
    <w:basedOn w:val="8"/>
    <w:uiPriority w:val="0"/>
  </w:style>
  <w:style w:type="character" w:customStyle="1" w:styleId="34">
    <w:name w:val="bsfwico23"/>
    <w:basedOn w:val="8"/>
    <w:qFormat/>
    <w:uiPriority w:val="0"/>
  </w:style>
  <w:style w:type="character" w:customStyle="1" w:styleId="35">
    <w:name w:val="bsfwico0"/>
    <w:basedOn w:val="8"/>
    <w:qFormat/>
    <w:uiPriority w:val="0"/>
  </w:style>
  <w:style w:type="character" w:customStyle="1" w:styleId="36">
    <w:name w:val="bsfwico1"/>
    <w:basedOn w:val="8"/>
    <w:qFormat/>
    <w:uiPriority w:val="0"/>
  </w:style>
  <w:style w:type="character" w:customStyle="1" w:styleId="37">
    <w:name w:val="bsfwico20"/>
    <w:basedOn w:val="8"/>
    <w:qFormat/>
    <w:uiPriority w:val="0"/>
  </w:style>
  <w:style w:type="character" w:customStyle="1" w:styleId="38">
    <w:name w:val="bsfwico2"/>
    <w:basedOn w:val="8"/>
    <w:qFormat/>
    <w:uiPriority w:val="0"/>
  </w:style>
  <w:style w:type="character" w:customStyle="1" w:styleId="39">
    <w:name w:val="bsfwico4"/>
    <w:basedOn w:val="8"/>
    <w:qFormat/>
    <w:uiPriority w:val="0"/>
  </w:style>
  <w:style w:type="character" w:customStyle="1" w:styleId="40">
    <w:name w:val="grfwico6"/>
    <w:basedOn w:val="8"/>
    <w:uiPriority w:val="0"/>
  </w:style>
  <w:style w:type="character" w:customStyle="1" w:styleId="41">
    <w:name w:val="bsfwico6"/>
    <w:basedOn w:val="8"/>
    <w:qFormat/>
    <w:uiPriority w:val="0"/>
  </w:style>
  <w:style w:type="character" w:customStyle="1" w:styleId="42">
    <w:name w:val="bsfwico7"/>
    <w:basedOn w:val="8"/>
    <w:qFormat/>
    <w:uiPriority w:val="0"/>
  </w:style>
  <w:style w:type="character" w:customStyle="1" w:styleId="43">
    <w:name w:val="grfwico12"/>
    <w:basedOn w:val="8"/>
    <w:uiPriority w:val="0"/>
  </w:style>
  <w:style w:type="character" w:customStyle="1" w:styleId="44">
    <w:name w:val="bsfwico9"/>
    <w:basedOn w:val="8"/>
    <w:qFormat/>
    <w:uiPriority w:val="0"/>
  </w:style>
  <w:style w:type="character" w:customStyle="1" w:styleId="45">
    <w:name w:val="bsfwico10"/>
    <w:basedOn w:val="8"/>
    <w:qFormat/>
    <w:uiPriority w:val="0"/>
  </w:style>
  <w:style w:type="character" w:customStyle="1" w:styleId="46">
    <w:name w:val="bsfwico11"/>
    <w:basedOn w:val="8"/>
    <w:qFormat/>
    <w:uiPriority w:val="0"/>
  </w:style>
  <w:style w:type="character" w:customStyle="1" w:styleId="47">
    <w:name w:val="grfwico14"/>
    <w:basedOn w:val="8"/>
    <w:qFormat/>
    <w:uiPriority w:val="0"/>
  </w:style>
  <w:style w:type="character" w:customStyle="1" w:styleId="48">
    <w:name w:val="bsfwico15"/>
    <w:basedOn w:val="8"/>
    <w:qFormat/>
    <w:uiPriority w:val="0"/>
  </w:style>
  <w:style w:type="character" w:customStyle="1" w:styleId="49">
    <w:name w:val="grfwico9"/>
    <w:basedOn w:val="8"/>
    <w:qFormat/>
    <w:uiPriority w:val="0"/>
  </w:style>
  <w:style w:type="character" w:customStyle="1" w:styleId="50">
    <w:name w:val="bsfwico16"/>
    <w:basedOn w:val="8"/>
    <w:qFormat/>
    <w:uiPriority w:val="0"/>
  </w:style>
  <w:style w:type="character" w:customStyle="1" w:styleId="51">
    <w:name w:val="bsfwico17"/>
    <w:basedOn w:val="8"/>
    <w:qFormat/>
    <w:uiPriority w:val="0"/>
  </w:style>
  <w:style w:type="character" w:customStyle="1" w:styleId="52">
    <w:name w:val="bsfwico18"/>
    <w:basedOn w:val="8"/>
    <w:qFormat/>
    <w:uiPriority w:val="0"/>
  </w:style>
  <w:style w:type="character" w:customStyle="1" w:styleId="53">
    <w:name w:val="bsfwico19"/>
    <w:basedOn w:val="8"/>
    <w:qFormat/>
    <w:uiPriority w:val="0"/>
  </w:style>
  <w:style w:type="character" w:customStyle="1" w:styleId="54">
    <w:name w:val="bsfwico22"/>
    <w:basedOn w:val="8"/>
    <w:qFormat/>
    <w:uiPriority w:val="0"/>
  </w:style>
  <w:style w:type="character" w:customStyle="1" w:styleId="55">
    <w:name w:val="grfwico0"/>
    <w:basedOn w:val="8"/>
    <w:qFormat/>
    <w:uiPriority w:val="0"/>
  </w:style>
  <w:style w:type="character" w:customStyle="1" w:styleId="56">
    <w:name w:val="grfwico5"/>
    <w:basedOn w:val="8"/>
    <w:qFormat/>
    <w:uiPriority w:val="0"/>
  </w:style>
  <w:style w:type="character" w:customStyle="1" w:styleId="57">
    <w:name w:val="grfwico8"/>
    <w:basedOn w:val="8"/>
    <w:qFormat/>
    <w:uiPriority w:val="0"/>
  </w:style>
  <w:style w:type="character" w:customStyle="1" w:styleId="58">
    <w:name w:val="grfwico17"/>
    <w:basedOn w:val="8"/>
    <w:qFormat/>
    <w:uiPriority w:val="0"/>
  </w:style>
  <w:style w:type="paragraph" w:customStyle="1" w:styleId="59">
    <w:name w:val=" Char Char Char Char Char Char Char Char Char Char Char Char Char Char Char Char Char Char Char"/>
    <w:basedOn w:val="1"/>
    <w:qFormat/>
    <w:uiPriority w:val="0"/>
    <w:pPr>
      <w:adjustRightInd w:val="0"/>
      <w:spacing w:line="360" w:lineRule="auto"/>
    </w:pPr>
  </w:style>
  <w:style w:type="character" w:customStyle="1" w:styleId="60">
    <w:name w:val="gwds_nopic"/>
    <w:basedOn w:val="8"/>
    <w:qFormat/>
    <w:uiPriority w:val="0"/>
  </w:style>
  <w:style w:type="character" w:customStyle="1" w:styleId="61">
    <w:name w:val="gwds_nopic1"/>
    <w:basedOn w:val="8"/>
    <w:qFormat/>
    <w:uiPriority w:val="0"/>
  </w:style>
  <w:style w:type="character" w:customStyle="1" w:styleId="62">
    <w:name w:val="gwds_nopic2"/>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Words>
  <Characters>638</Characters>
  <Lines>5</Lines>
  <Paragraphs>1</Paragraphs>
  <TotalTime>1</TotalTime>
  <ScaleCrop>false</ScaleCrop>
  <LinksUpToDate>false</LinksUpToDate>
  <CharactersWithSpaces>748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Elwin</cp:lastModifiedBy>
  <cp:lastPrinted>2021-10-26T03:30:00Z</cp:lastPrinted>
  <dcterms:modified xsi:type="dcterms:W3CDTF">2021-11-16T07:04:18Z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CE93AF6D5F854D43B1BBF57E03F4B1A0</vt:lpwstr>
  </property>
</Properties>
</file>