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shd w:val="clear" w:color="auto" w:fill="F8FAFD"/>
        <w:kinsoku/>
        <w:wordWrap/>
        <w:overflowPunct/>
        <w:bidi w:val="0"/>
        <w:adjustRightInd w:val="0"/>
        <w:snapToGrid w:val="0"/>
        <w:spacing w:line="590" w:lineRule="exact"/>
        <w:textAlignment w:val="auto"/>
        <w:outlineLvl w:val="9"/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</w:rPr>
        <w:t>附件2</w:t>
      </w:r>
    </w:p>
    <w:p>
      <w:pPr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highlight w:val="none"/>
        </w:rPr>
      </w:pPr>
    </w:p>
    <w:p>
      <w:pPr>
        <w:keepNext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7"/>
          <w:sz w:val="43"/>
          <w:szCs w:val="43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7"/>
          <w:sz w:val="43"/>
          <w:szCs w:val="43"/>
          <w:highlight w:val="none"/>
        </w:rPr>
        <w:t>海南省</w:t>
      </w:r>
      <w:bookmarkStart w:id="0" w:name="_Hlk56761734"/>
      <w:r>
        <w:rPr>
          <w:rFonts w:hint="eastAsia" w:ascii="方正小标宋_GBK" w:hAnsi="方正小标宋_GBK" w:eastAsia="方正小标宋_GBK" w:cs="方正小标宋_GBK"/>
          <w:color w:val="auto"/>
          <w:spacing w:val="7"/>
          <w:sz w:val="43"/>
          <w:szCs w:val="43"/>
          <w:highlight w:val="none"/>
        </w:rPr>
        <w:t>生态环境分区管控方案</w:t>
      </w:r>
      <w:bookmarkEnd w:id="0"/>
    </w:p>
    <w:p>
      <w:pPr>
        <w:keepNext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7"/>
          <w:sz w:val="43"/>
          <w:szCs w:val="43"/>
          <w:highlight w:val="none"/>
        </w:rPr>
      </w:pPr>
    </w:p>
    <w:p>
      <w:pPr>
        <w:keepLines w:val="0"/>
        <w:pageBreakBefore w:val="0"/>
        <w:widowControl w:val="0"/>
        <w:shd w:val="clear" w:color="auto" w:fill="F8FAFD"/>
        <w:kinsoku/>
        <w:wordWrap/>
        <w:overflowPunct/>
        <w:topLinePunct/>
        <w:bidi w:val="0"/>
        <w:adjustRightInd w:val="0"/>
        <w:snapToGrid w:val="0"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</w:pPr>
      <w:bookmarkStart w:id="1" w:name="_GoBack"/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为实现生态环境精细化管理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建立国土空间全覆盖的</w:t>
      </w:r>
      <w:bookmarkEnd w:id="1"/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生态环境保护制度，将海南省（本岛）及近岸海域从生态环境保护角度划分为优先保护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单元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、重点管控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单元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和一般管控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单元等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类环境管控单元，在一张图上落实生态保护与环境质量目标管理、资源利用管控要求，按照环境管控单元编制生态环境准入清单，构建生态环境分区管控体系。</w:t>
      </w:r>
    </w:p>
    <w:p>
      <w:pPr>
        <w:keepLines w:val="0"/>
        <w:pageBreakBefore w:val="0"/>
        <w:widowControl w:val="0"/>
        <w:shd w:val="clear" w:color="auto" w:fill="F8FAFD"/>
        <w:kinsoku/>
        <w:wordWrap/>
        <w:overflowPunct/>
        <w:topLinePunct/>
        <w:bidi w:val="0"/>
        <w:adjustRightInd w:val="0"/>
        <w:snapToGrid w:val="0"/>
        <w:spacing w:line="590" w:lineRule="exact"/>
        <w:ind w:firstLine="668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  <w:t>一、全省总体生态环境管控要求</w:t>
      </w:r>
    </w:p>
    <w:p>
      <w:pPr>
        <w:keepLines w:val="0"/>
        <w:pageBreakBefore w:val="0"/>
        <w:widowControl w:val="0"/>
        <w:shd w:val="clear" w:color="auto" w:fill="F8FAFD"/>
        <w:kinsoku/>
        <w:wordWrap/>
        <w:overflowPunct/>
        <w:topLinePunct/>
        <w:bidi w:val="0"/>
        <w:adjustRightInd w:val="0"/>
        <w:snapToGrid w:val="0"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全省确定优先保护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单元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、重点管控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单元</w:t>
      </w:r>
      <w:r>
        <w:rPr>
          <w:rFonts w:hint="eastAsia" w:ascii="仿宋_GB2312" w:hAnsi="仿宋_GB2312" w:eastAsia="仿宋_GB2312" w:cs="仿宋_GB2312"/>
          <w:color w:val="auto"/>
          <w:spacing w:val="7"/>
          <w:kern w:val="0"/>
          <w:sz w:val="32"/>
          <w:szCs w:val="32"/>
          <w:highlight w:val="none"/>
        </w:rPr>
        <w:t>、一般管控单元的总体生态环境管控要求。</w:t>
      </w:r>
    </w:p>
    <w:tbl>
      <w:tblPr>
        <w:tblStyle w:val="3"/>
        <w:tblpPr w:leftFromText="181" w:rightFromText="181" w:vertAnchor="text" w:horzAnchor="page" w:tblpXSpec="center" w:tblpY="70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2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环境管控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</w:rPr>
              <w:t>单元类型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全省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总体生态环境管控要求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9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优先保护单元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以生态环境保护优先为原则，严格执行相关法律、法规和文件要求，严守生态环境质量底线，确保生态环境功能不降低。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重点管控单元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根据现状环境质量是否达标、区域经济社会发展趋势与需求、可能面临的环境压力等因素，制定差别化的生态环境准入要求，从区域污染物削减/替代、限制/禁止开发建设活动、污染源控制、环境风险防控等方面提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2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一般管控单元</w:t>
            </w:r>
          </w:p>
        </w:tc>
        <w:tc>
          <w:tcPr>
            <w:tcW w:w="6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执行生态环境保护的基本要求，重点加强农业面源、城镇生活污水等污染治理。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90" w:lineRule="exact"/>
        <w:jc w:val="center"/>
        <w:textAlignment w:val="auto"/>
        <w:outlineLvl w:val="9"/>
        <w:rPr>
          <w:rFonts w:ascii="仿宋_GB2312" w:hAnsi="Times New Roman" w:eastAsia="仿宋_GB2312"/>
          <w:b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auto"/>
          <w:spacing w:val="7"/>
          <w:kern w:val="0"/>
          <w:sz w:val="32"/>
          <w:szCs w:val="32"/>
          <w:highlight w:val="none"/>
        </w:rPr>
        <w:t>表1</w:t>
      </w:r>
      <w:r>
        <w:rPr>
          <w:rFonts w:hint="eastAsia" w:ascii="黑体" w:hAnsi="黑体" w:eastAsia="黑体" w:cs="黑体"/>
          <w:b w:val="0"/>
          <w:bCs/>
          <w:snapToGrid w:val="0"/>
          <w:color w:val="auto"/>
          <w:spacing w:val="7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color w:val="auto"/>
          <w:spacing w:val="7"/>
          <w:kern w:val="0"/>
          <w:sz w:val="32"/>
          <w:szCs w:val="32"/>
          <w:highlight w:val="none"/>
        </w:rPr>
        <w:t>全省总体生态环境管控要求</w:t>
      </w:r>
    </w:p>
    <w:p>
      <w:pPr>
        <w:keepLines w:val="0"/>
        <w:pageBreakBefore w:val="0"/>
        <w:widowControl w:val="0"/>
        <w:shd w:val="clear" w:color="auto" w:fill="F8FAFD"/>
        <w:kinsoku/>
        <w:wordWrap/>
        <w:overflowPunct/>
        <w:topLinePunct/>
        <w:bidi w:val="0"/>
        <w:adjustRightInd w:val="0"/>
        <w:snapToGrid w:val="0"/>
        <w:spacing w:line="590" w:lineRule="exact"/>
        <w:ind w:firstLine="668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  <w:t>二、五大片区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  <w:lang w:eastAsia="zh-CN"/>
        </w:rPr>
        <w:t>生态环境管控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  <w:t>要求</w:t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 w:val="0"/>
        <w:topLinePunct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在全省总体生态环境管控要求的基础上，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五大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片区的区域特征、发展定位、生态环境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现状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、未来环境压力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，确定各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片区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  <w:lang w:eastAsia="zh-CN"/>
        </w:rPr>
        <w:t>生态环境管控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/>
        <w:autoSpaceDE/>
        <w:autoSpaceDN/>
        <w:bidi w:val="0"/>
        <w:adjustRightInd w:val="0"/>
        <w:snapToGrid w:val="0"/>
        <w:spacing w:before="97" w:beforeLines="30" w:line="59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  <w:t>表2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highlight w:val="none"/>
          <w:shd w:val="clear" w:color="auto" w:fill="auto"/>
        </w:rPr>
        <w:t>五大片区生态环境管控要求</w:t>
      </w:r>
    </w:p>
    <w:tbl>
      <w:tblPr>
        <w:tblStyle w:val="3"/>
        <w:tblpPr w:leftFromText="181" w:rightFromText="181" w:vertAnchor="text" w:horzAnchor="page" w:tblpXSpec="center" w:tblpY="22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0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0"/>
                <w:sz w:val="28"/>
                <w:szCs w:val="28"/>
                <w:highlight w:val="none"/>
              </w:rPr>
              <w:t>区域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片区</w:t>
            </w:r>
            <w:r>
              <w:rPr>
                <w:rFonts w:hint="eastAsia" w:ascii="黑体" w:hAnsi="黑体" w:eastAsia="黑体" w:cs="黑体"/>
                <w:bCs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</w:rPr>
              <w:t>生态环境管控要求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东部片区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（包括琼海、万宁、定安、屯昌4市县）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大气环境布局敏感重点管控区禁止高耗能、高污染、高排放产业和低端制造业，区域内已建大气重污染企业实施搬迁改造或依法关闭。全面取缔污染环境的土法槟榔加工，推动槟榔产业绿色发展。提高污水收集处理率，加强城镇生活污水处理设施建设，推广精准化施肥和水肥一体化等控源减排技术，严格执行禁养区规定，所有规模化畜禽养殖场全部配套建设粪便污水贮存、处理、利用设施。优化城镇供水布局，加强城镇节水，提升农田灌溉水有效利用率，加强非常规水源利用。禁止明显破坏生态环境的建设活动。积极开展生活垃圾分类试点，到2022年所辖范围内全面推行生活垃圾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北部片区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（包括海口、澄迈、文昌3市县）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加快推进企业入园，逐步搬迁园区周边居民。对建材等行业实施精细化管理。优化交通运输结构，加快推行新能源车替代燃油车，加快开展燃气锅炉低氮燃烧改造，强化施工和道路扬尘管控。提高水资源利用效率，对高耗水项目提出最严格的环境准入要求。推进海绵城市建设。城镇新建排水管网实行雨污分流，提高污水收集处理率，加快乡镇污水处理设施建设。禁止明显破坏生态环境的建设活动。海口市全面实施生活垃圾分类。其他市县积极开展生活垃圾分类试点，到2022年所辖范围内全面推行生活垃圾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西部片区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（包括东方、昌江、儋州、临高4市县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  <w:lang w:eastAsia="zh-CN"/>
              </w:rPr>
              <w:t>和洋浦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园区实施严格的产业准入门槛，实施清洁能源替代，落实火电厂超低排放要求，实施石化化工精细化管理。严格区域削减要求，原则上建设项目主要污染物实行区域等量削减，确保项目投产后区域环境质量不恶化。加快推进企业入园，园区周边居民逐步搬迁。提高污水收集处理率，加强城镇生活污水处理设施建设。优化城镇供水布局，加强城镇节水，提升农田灌溉水有效利用率，加强非常规水源利用。禁止明显破坏生态环境的建设活动。扎实推进热带雨林国家公园建设。儋州市全面实施生活垃圾分类。其他市县积极开展生活垃圾分类试点，到2022年所辖范围内全面推行生活垃圾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南部片区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（包括三亚、乐东、陵水3市县）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  <w:t>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快基础设施建设。在三亚市、陵水县建设跨区域生活垃圾焚烧发电厂。加强农业面源污染防治。城镇新建排水管网实行雨污分流。提高污水收集处理率，推进污水处理厂尾水深度处理净化。优化交通运输结构，加快推行新能源车替代燃油车，强化施工和道路扬尘管控。优化水资源配置，改善供水条件，提高供水保障水平，保证高峰期用水需求。禁止明显破坏生态环境的建设活动。扎实推进热带雨林国家公园建设。实施严格的围填海总量控制制度和规范审批程序，除国家和省重大基础设施建设、重大民生项目和重点海域生态修复治理项目外，严禁围填海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/>
              </w:rPr>
              <w:t>三亚市全面实施生活垃圾分类。其他市县积极开展生活垃圾分类试点，到2022年所辖范围内全面推行生活垃圾分类。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  <w:t>中部片区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8"/>
                <w:szCs w:val="28"/>
                <w:highlight w:val="none"/>
              </w:rPr>
              <w:t>（包括五指山、保亭、琼中、白沙4市县）</w:t>
            </w:r>
          </w:p>
        </w:tc>
        <w:tc>
          <w:tcPr>
            <w:tcW w:w="7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8FAFD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理控制建设活动，引导发展生态经济，禁止明显破坏生态环境的建设活动。严格控制工业发展，引导槟榔加工产业规模化集聚化发展和绿色转型升级。扎实推进热带雨林国家公园建设，强化“三大江河”源头区管控，强化中部山区国家重点生态功能区的保护和管理。强化山洪灾害防治、水土流失综合治理。适当拆除、改造影响生态环境的小水电项目。积极开展生活垃圾分类试点，到2022年所辖范围内全面推行生活垃圾分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2834"/>
    <w:rsid w:val="6BC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2021-04-09T03:38:00Z</dcterms:created>
  <dc:creator>Administrator</dc:creator>
  <cp:lastModifiedBy>Administrator</cp:lastModifiedBy>
  <dcterms:modified xsi:type="dcterms:W3CDTF">2021-04-09T03:38:47Z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