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ind w:firstLine="0" w:firstLineChars="0"/>
        <w:jc w:val="center"/>
        <w:rPr>
          <w:rFonts w:eastAsiaTheme="minorEastAsia"/>
          <w:b/>
          <w:color w:val="auto"/>
          <w:w w:val="95"/>
          <w:sz w:val="24"/>
        </w:rPr>
      </w:pPr>
    </w:p>
    <w:p>
      <w:pPr>
        <w:pStyle w:val="10"/>
        <w:spacing w:after="0" w:line="560" w:lineRule="exact"/>
        <w:ind w:left="640" w:firstLine="456"/>
        <w:rPr>
          <w:rFonts w:eastAsiaTheme="minorEastAsia"/>
          <w:b/>
          <w:color w:val="auto"/>
          <w:w w:val="95"/>
          <w:sz w:val="24"/>
        </w:rPr>
      </w:pPr>
    </w:p>
    <w:p>
      <w:pPr>
        <w:pStyle w:val="10"/>
        <w:spacing w:after="0" w:line="560" w:lineRule="exact"/>
        <w:ind w:left="640" w:firstLine="456"/>
        <w:rPr>
          <w:rFonts w:eastAsiaTheme="minorEastAsia"/>
          <w:b/>
          <w:color w:val="auto"/>
          <w:w w:val="95"/>
          <w:sz w:val="24"/>
        </w:rPr>
      </w:pPr>
    </w:p>
    <w:p>
      <w:pPr>
        <w:pStyle w:val="10"/>
        <w:spacing w:after="0" w:line="560" w:lineRule="exact"/>
        <w:ind w:left="640" w:firstLine="456"/>
        <w:rPr>
          <w:rFonts w:eastAsiaTheme="minorEastAsia"/>
          <w:b/>
          <w:color w:val="auto"/>
          <w:w w:val="95"/>
          <w:sz w:val="24"/>
        </w:rPr>
      </w:pPr>
    </w:p>
    <w:p>
      <w:pPr>
        <w:pStyle w:val="10"/>
        <w:spacing w:after="0" w:line="560" w:lineRule="exact"/>
        <w:ind w:left="0" w:leftChars="0" w:firstLine="0" w:firstLineChars="0"/>
        <w:rPr>
          <w:rFonts w:eastAsiaTheme="minorEastAsia"/>
          <w:b/>
          <w:color w:val="auto"/>
          <w:w w:val="95"/>
          <w:sz w:val="24"/>
        </w:rPr>
      </w:pPr>
    </w:p>
    <w:p>
      <w:pPr>
        <w:tabs>
          <w:tab w:val="left" w:pos="4942"/>
        </w:tabs>
        <w:adjustRightInd w:val="0"/>
        <w:snapToGrid w:val="0"/>
        <w:spacing w:before="156" w:beforeLines="50"/>
        <w:ind w:firstLine="0" w:firstLineChars="0"/>
        <w:jc w:val="center"/>
        <w:outlineLvl w:val="0"/>
        <w:rPr>
          <w:rFonts w:hint="eastAsia" w:ascii="方正小标宋_GBK" w:hAnsi="方正小标宋_GBK" w:eastAsia="方正小标宋_GBK" w:cs="方正小标宋_GBK"/>
          <w:bCs/>
          <w:color w:val="auto"/>
          <w:sz w:val="44"/>
          <w:szCs w:val="44"/>
        </w:rPr>
      </w:pPr>
      <w:bookmarkStart w:id="0" w:name="_Toc22670"/>
      <w:bookmarkStart w:id="1" w:name="_Toc19378"/>
      <w:bookmarkStart w:id="2" w:name="_Toc196493795"/>
      <w:bookmarkStart w:id="3" w:name="_Toc17491"/>
      <w:bookmarkStart w:id="4" w:name="_Toc196493414"/>
      <w:r>
        <w:rPr>
          <w:rFonts w:hint="eastAsia" w:ascii="方正小标宋_GBK" w:hAnsi="方正小标宋_GBK" w:eastAsia="方正小标宋_GBK" w:cs="方正小标宋_GBK"/>
          <w:bCs/>
          <w:color w:val="auto"/>
          <w:sz w:val="44"/>
          <w:szCs w:val="44"/>
        </w:rPr>
        <w:t>海南省交通运输厅2024年高速公路建设偿债项目绩效评价报告</w:t>
      </w:r>
      <w:bookmarkEnd w:id="0"/>
      <w:bookmarkEnd w:id="1"/>
      <w:bookmarkEnd w:id="2"/>
      <w:bookmarkEnd w:id="3"/>
      <w:bookmarkEnd w:id="4"/>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7"/>
        <w:ind w:firstLine="723"/>
        <w:rPr>
          <w:rFonts w:ascii="Times New Roman" w:hAnsi="Times New Roman" w:cs="Times New Roman" w:eastAsiaTheme="minorEastAsia"/>
          <w:b/>
          <w:color w:val="auto"/>
          <w:sz w:val="36"/>
        </w:rPr>
      </w:pPr>
    </w:p>
    <w:p>
      <w:pPr>
        <w:pStyle w:val="17"/>
        <w:ind w:left="0" w:leftChars="0" w:firstLine="0" w:firstLineChars="0"/>
        <w:jc w:val="center"/>
        <w:rPr>
          <w:rFonts w:eastAsiaTheme="minorEastAsia"/>
          <w:b/>
          <w:color w:val="auto"/>
          <w:kern w:val="0"/>
          <w:szCs w:val="32"/>
          <w:lang w:val="en"/>
        </w:rPr>
      </w:pPr>
      <w:bookmarkStart w:id="5" w:name="_Toc7241"/>
      <w:bookmarkStart w:id="6" w:name="_Toc9526"/>
      <w:bookmarkStart w:id="7" w:name="_Toc10598"/>
      <w:r>
        <w:rPr>
          <w:rFonts w:hint="eastAsia" w:ascii="黑体" w:hAnsi="黑体" w:eastAsia="黑体" w:cs="黑体"/>
          <w:b/>
          <w:color w:val="auto"/>
          <w:kern w:val="0"/>
          <w:szCs w:val="32"/>
          <w:lang w:val="en"/>
        </w:rPr>
        <w:t>海南省交通运输厅</w:t>
      </w:r>
    </w:p>
    <w:p>
      <w:pPr>
        <w:pStyle w:val="17"/>
        <w:ind w:left="0" w:leftChars="0" w:firstLine="0" w:firstLineChars="0"/>
        <w:jc w:val="center"/>
        <w:rPr>
          <w:rFonts w:eastAsiaTheme="minorEastAsia"/>
          <w:b/>
          <w:color w:val="auto"/>
          <w:kern w:val="0"/>
          <w:szCs w:val="32"/>
        </w:rPr>
      </w:pPr>
    </w:p>
    <w:p>
      <w:pPr>
        <w:pStyle w:val="17"/>
        <w:ind w:left="0" w:leftChars="0" w:firstLine="0" w:firstLineChars="0"/>
        <w:jc w:val="center"/>
        <w:rPr>
          <w:rFonts w:hint="eastAsia" w:ascii="黑体" w:hAnsi="黑体" w:eastAsia="黑体" w:cs="黑体"/>
          <w:b/>
          <w:color w:val="auto"/>
          <w:kern w:val="0"/>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835" w:right="1417" w:bottom="1417" w:left="1984" w:header="851" w:footer="992" w:gutter="0"/>
          <w:pgNumType w:start="1"/>
          <w:cols w:space="0" w:num="1"/>
          <w:docGrid w:type="lines" w:linePitch="312" w:charSpace="0"/>
        </w:sectPr>
      </w:pPr>
      <w:r>
        <w:rPr>
          <w:rFonts w:hint="eastAsia" w:ascii="黑体" w:hAnsi="黑体" w:eastAsia="黑体" w:cs="黑体"/>
          <w:b/>
          <w:color w:val="auto"/>
          <w:kern w:val="0"/>
          <w:szCs w:val="32"/>
        </w:rPr>
        <w:t>二〇二五年四月</w:t>
      </w:r>
    </w:p>
    <w:bookmarkEnd w:id="5"/>
    <w:bookmarkEnd w:id="6"/>
    <w:bookmarkEnd w:id="7"/>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color w:val="auto"/>
          <w:sz w:val="36"/>
          <w:szCs w:val="36"/>
        </w:rPr>
      </w:pPr>
      <w:r>
        <w:rPr>
          <w:rFonts w:hint="eastAsia" w:ascii="宋体" w:hAnsi="宋体" w:eastAsia="宋体" w:cs="宋体"/>
          <w:b/>
          <w:bCs/>
          <w:color w:val="auto"/>
          <w:sz w:val="36"/>
          <w:szCs w:val="36"/>
        </w:rPr>
        <w:t>目   录</w:t>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color w:val="auto"/>
          <w:sz w:val="22"/>
          <w14:ligatures w14:val="standardContextual"/>
        </w:rPr>
      </w:pPr>
      <w:r>
        <w:rPr>
          <w:color w:val="auto"/>
        </w:rPr>
        <w:fldChar w:fldCharType="begin"/>
      </w:r>
      <w:r>
        <w:rPr>
          <w:color w:val="auto"/>
        </w:rPr>
        <w:instrText xml:space="preserve">TOC \o "1-3" \h \u </w:instrText>
      </w:r>
      <w:r>
        <w:rPr>
          <w:color w:val="auto"/>
        </w:rPr>
        <w:fldChar w:fldCharType="separate"/>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"_Toc196493796"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一、基本情况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_Toc196493796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ind w:firstLine="566" w:firstLineChars="177"/>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"_Toc196493797"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（一</w:t>
      </w:r>
      <w:r>
        <w:rPr>
          <w:rStyle w:val="20"/>
          <w:rFonts w:hint="eastAsia" w:ascii="仿宋_GB2312" w:hAnsi="仿宋_GB2312" w:eastAsia="仿宋_GB2312" w:cs="仿宋_GB2312"/>
          <w:b w:val="0"/>
          <w:bCs w:val="0"/>
          <w:color w:val="auto"/>
          <w:spacing w:val="-29"/>
          <w:sz w:val="28"/>
          <w:szCs w:val="28"/>
        </w:rPr>
        <w:t>）</w:t>
      </w:r>
      <w:r>
        <w:rPr>
          <w:rStyle w:val="20"/>
          <w:rFonts w:hint="eastAsia" w:ascii="仿宋_GB2312" w:hAnsi="仿宋_GB2312" w:eastAsia="仿宋_GB2312" w:cs="仿宋_GB2312"/>
          <w:b w:val="0"/>
          <w:bCs w:val="0"/>
          <w:color w:val="auto"/>
          <w:spacing w:val="-9"/>
          <w:sz w:val="28"/>
          <w:szCs w:val="28"/>
        </w:rPr>
        <w:t>项目概况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_Toc196493797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"_Toc196493800"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（二）项目绩效目标</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_Toc196493800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"_Toc196493801"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二、绩效评价工作开展情况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_Toc196493801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3</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"_Toc196493802"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（一）绩效评价目的、对象和范围</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_Toc196493802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3</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"_Toc196493805"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（二）绩效评价原则、评价指标体系、评价方法、评价标准</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_Toc196493805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4</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"_Toc196493810"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（三） 绩效评价工作过程</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_Toc196493810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12</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"_Toc196493814"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三、综合评价情况及评价结论（附相关评分表）</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_Toc196493814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14</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"_Toc196493815"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四、绩效评价指标分析</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_Toc196493815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14</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"_Toc196493816"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（一）项目决策情况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_Toc196493816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14</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"_Toc196493823"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（二）项目过程情况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_Toc196493823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19</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"_Toc196493829"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（三）项目产出情况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_Toc196493829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22</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"_Toc196493833"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（四）项目效益情况</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_Toc196493833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27</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"_Toc196493836"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五、 主要经验及做法</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_Toc196493836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28</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"_Toc196493837"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六、 存在的问题及原因分析</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_Toc196493837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29</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"_Toc196493838"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七、 有关建议</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_Toc196493838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29</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b w:val="0"/>
          <w:bCs w:val="0"/>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"_Toc196493839"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rPr>
        <w:t>八、 其他需要说明的问题</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_Toc196493839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30</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pStyle w:val="13"/>
        <w:keepNext w:val="0"/>
        <w:keepLines w:val="0"/>
        <w:pageBreakBefore w:val="0"/>
        <w:widowControl w:val="0"/>
        <w:kinsoku/>
        <w:wordWrap/>
        <w:overflowPunct/>
        <w:topLinePunct w:val="0"/>
        <w:autoSpaceDE/>
        <w:autoSpaceDN/>
        <w:bidi w:val="0"/>
        <w:adjustRightInd/>
        <w:snapToGrid/>
        <w:spacing w:line="560" w:lineRule="exact"/>
        <w:textAlignment w:val="auto"/>
        <w:rPr>
          <w:color w:val="auto"/>
          <w14:ligatures w14:val="standardContextual"/>
        </w:rPr>
      </w:pP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HYPERLINK \l "_Toc196493840" </w:instrText>
      </w:r>
      <w:r>
        <w:rPr>
          <w:rFonts w:hint="eastAsia" w:ascii="仿宋_GB2312" w:hAnsi="仿宋_GB2312" w:cs="仿宋_GB2312"/>
          <w:b w:val="0"/>
          <w:bCs w:val="0"/>
          <w:color w:val="auto"/>
        </w:rPr>
        <w:fldChar w:fldCharType="separate"/>
      </w:r>
      <w:r>
        <w:rPr>
          <w:rStyle w:val="20"/>
          <w:rFonts w:hint="eastAsia" w:ascii="仿宋_GB2312" w:hAnsi="仿宋_GB2312" w:eastAsia="仿宋_GB2312" w:cs="仿宋_GB2312"/>
          <w:b w:val="0"/>
          <w:bCs w:val="0"/>
          <w:color w:val="auto"/>
          <w:sz w:val="28"/>
          <w:szCs w:val="28"/>
          <w:lang w:eastAsia="zh-Hans"/>
        </w:rPr>
        <w:t>附件</w:t>
      </w:r>
      <w:r>
        <w:rPr>
          <w:rStyle w:val="20"/>
          <w:rFonts w:hint="eastAsia" w:ascii="仿宋_GB2312" w:hAnsi="仿宋_GB2312" w:eastAsia="仿宋_GB2312" w:cs="仿宋_GB2312"/>
          <w:b w:val="0"/>
          <w:bCs w:val="0"/>
          <w:color w:val="auto"/>
          <w:sz w:val="28"/>
          <w:szCs w:val="28"/>
        </w:rPr>
        <w:t>：</w:t>
      </w:r>
      <w:r>
        <w:rPr>
          <w:rStyle w:val="20"/>
          <w:rFonts w:hint="eastAsia" w:ascii="仿宋_GB2312" w:hAnsi="仿宋_GB2312" w:eastAsia="仿宋_GB2312" w:cs="仿宋_GB2312"/>
          <w:b w:val="0"/>
          <w:bCs w:val="0"/>
          <w:color w:val="auto"/>
          <w:sz w:val="28"/>
          <w:szCs w:val="28"/>
          <w:lang w:eastAsia="zh-Hans"/>
        </w:rPr>
        <w:t>综合评分表</w:t>
      </w:r>
      <w:r>
        <w:rPr>
          <w:rFonts w:hint="eastAsia" w:ascii="仿宋_GB2312" w:hAnsi="仿宋_GB2312" w:cs="仿宋_GB2312"/>
          <w:b w:val="0"/>
          <w:bCs w:val="0"/>
          <w:color w:val="auto"/>
        </w:rPr>
        <w:tab/>
      </w:r>
      <w:r>
        <w:rPr>
          <w:rFonts w:hint="eastAsia" w:ascii="仿宋_GB2312" w:hAnsi="仿宋_GB2312" w:cs="仿宋_GB2312"/>
          <w:b w:val="0"/>
          <w:bCs w:val="0"/>
          <w:color w:val="auto"/>
        </w:rPr>
        <w:fldChar w:fldCharType="begin"/>
      </w:r>
      <w:r>
        <w:rPr>
          <w:rFonts w:hint="eastAsia" w:ascii="仿宋_GB2312" w:hAnsi="仿宋_GB2312" w:cs="仿宋_GB2312"/>
          <w:b w:val="0"/>
          <w:bCs w:val="0"/>
          <w:color w:val="auto"/>
        </w:rPr>
        <w:instrText xml:space="preserve"> PAGEREF _Toc196493840 \h </w:instrText>
      </w:r>
      <w:r>
        <w:rPr>
          <w:rFonts w:hint="eastAsia" w:ascii="仿宋_GB2312" w:hAnsi="仿宋_GB2312" w:cs="仿宋_GB2312"/>
          <w:b w:val="0"/>
          <w:bCs w:val="0"/>
          <w:color w:val="auto"/>
        </w:rPr>
        <w:fldChar w:fldCharType="separate"/>
      </w:r>
      <w:r>
        <w:rPr>
          <w:rFonts w:hint="eastAsia" w:ascii="仿宋_GB2312" w:hAnsi="仿宋_GB2312" w:cs="仿宋_GB2312"/>
          <w:b w:val="0"/>
          <w:bCs w:val="0"/>
          <w:color w:val="auto"/>
        </w:rPr>
        <w:t>31</w:t>
      </w:r>
      <w:r>
        <w:rPr>
          <w:rFonts w:hint="eastAsia" w:ascii="仿宋_GB2312" w:hAnsi="仿宋_GB2312" w:cs="仿宋_GB2312"/>
          <w:b w:val="0"/>
          <w:bCs w:val="0"/>
          <w:color w:val="auto"/>
        </w:rPr>
        <w:fldChar w:fldCharType="end"/>
      </w:r>
      <w:r>
        <w:rPr>
          <w:rFonts w:hint="eastAsia" w:ascii="仿宋_GB2312" w:hAnsi="仿宋_GB2312" w:cs="仿宋_GB2312"/>
          <w:b w:val="0"/>
          <w:bCs w:val="0"/>
          <w:color w:val="auto"/>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eastAsiaTheme="minorEastAsia"/>
          <w:color w:val="auto"/>
        </w:rPr>
        <w:sectPr>
          <w:headerReference r:id="rId11" w:type="default"/>
          <w:footerReference r:id="rId12" w:type="default"/>
          <w:pgSz w:w="11906" w:h="16838"/>
          <w:pgMar w:top="1440" w:right="1418" w:bottom="1440" w:left="1797" w:header="851" w:footer="992" w:gutter="0"/>
          <w:cols w:space="0" w:num="1"/>
          <w:docGrid w:type="lines" w:linePitch="435" w:charSpace="0"/>
        </w:sectPr>
      </w:pPr>
      <w:r>
        <w:rPr>
          <w:rFonts w:eastAsiaTheme="minorEastAsia"/>
          <w:color w:val="auto"/>
        </w:rPr>
        <w:fldChar w:fldCharType="end"/>
      </w:r>
      <w:bookmarkStart w:id="240" w:name="_GoBack"/>
      <w:bookmarkEnd w:id="240"/>
    </w:p>
    <w:p>
      <w:pPr>
        <w:keepNext/>
        <w:keepLines/>
        <w:ind w:firstLine="0" w:firstLineChars="0"/>
        <w:jc w:val="center"/>
        <w:rPr>
          <w:rFonts w:eastAsiaTheme="minorEastAsia"/>
          <w:bCs/>
          <w:color w:val="auto"/>
          <w:sz w:val="36"/>
          <w:szCs w:val="36"/>
        </w:rPr>
      </w:pPr>
      <w:bookmarkStart w:id="8" w:name="_Toc5402"/>
      <w:bookmarkStart w:id="9" w:name="_Toc602978812"/>
    </w:p>
    <w:p>
      <w:pPr>
        <w:keepNext/>
        <w:keepLines/>
        <w:ind w:firstLine="0" w:firstLineChars="0"/>
        <w:jc w:val="center"/>
        <w:rPr>
          <w:rFonts w:hint="eastAsia" w:ascii="方正小标宋_GBK" w:hAnsi="方正小标宋_GBK" w:eastAsia="方正小标宋_GBK" w:cs="方正小标宋_GBK"/>
          <w:bCs/>
          <w:color w:val="auto"/>
          <w:sz w:val="44"/>
          <w:szCs w:val="44"/>
          <w:lang w:eastAsia="zh-Hans"/>
        </w:rPr>
      </w:pPr>
      <w:r>
        <w:rPr>
          <w:rFonts w:hint="eastAsia" w:ascii="方正小标宋_GBK" w:hAnsi="方正小标宋_GBK" w:eastAsia="方正小标宋_GBK" w:cs="方正小标宋_GBK"/>
          <w:bCs/>
          <w:color w:val="auto"/>
          <w:sz w:val="44"/>
          <w:szCs w:val="44"/>
        </w:rPr>
        <w:t>海南省交通运输厅2024年高速公路建设偿债项目绩效评价报告</w:t>
      </w:r>
      <w:bookmarkEnd w:id="8"/>
      <w:bookmarkEnd w:id="9"/>
    </w:p>
    <w:p>
      <w:pPr>
        <w:rPr>
          <w:rFonts w:eastAsiaTheme="minorEastAsia"/>
          <w:color w:val="auto"/>
          <w:lang w:eastAsia="zh-Hans"/>
        </w:rPr>
      </w:pPr>
    </w:p>
    <w:p>
      <w:pPr>
        <w:pStyle w:val="7"/>
        <w:ind w:firstLine="643"/>
        <w:outlineLvl w:val="0"/>
        <w:rPr>
          <w:rFonts w:hint="eastAsia" w:ascii="黑体" w:hAnsi="黑体" w:eastAsia="黑体" w:cs="黑体"/>
          <w:b w:val="0"/>
          <w:bCs/>
          <w:color w:val="auto"/>
        </w:rPr>
      </w:pPr>
      <w:bookmarkStart w:id="10" w:name="_Toc196493796"/>
      <w:r>
        <w:rPr>
          <w:rFonts w:hint="eastAsia" w:ascii="黑体" w:hAnsi="黑体" w:eastAsia="黑体" w:cs="黑体"/>
          <w:b w:val="0"/>
          <w:bCs/>
          <w:color w:val="auto"/>
        </w:rPr>
        <w:t>一、基本情况</w:t>
      </w:r>
      <w:bookmarkEnd w:id="10"/>
    </w:p>
    <w:p>
      <w:pPr>
        <w:pStyle w:val="7"/>
        <w:outlineLvl w:val="1"/>
        <w:rPr>
          <w:rFonts w:ascii="Times New Roman" w:hAnsi="Times New Roman" w:cs="Times New Roman" w:eastAsiaTheme="minorEastAsia"/>
          <w:color w:val="auto"/>
          <w:spacing w:val="-9"/>
        </w:rPr>
      </w:pPr>
      <w:bookmarkStart w:id="11" w:name="_Toc196493416"/>
      <w:bookmarkStart w:id="12" w:name="_Toc196493797"/>
      <w:r>
        <w:rPr>
          <w:rFonts w:hint="eastAsia" w:ascii="楷体_GB2312" w:hAnsi="楷体_GB2312" w:eastAsia="楷体_GB2312" w:cs="楷体_GB2312"/>
          <w:color w:val="auto"/>
        </w:rPr>
        <w:t>（一</w:t>
      </w:r>
      <w:r>
        <w:rPr>
          <w:rFonts w:hint="eastAsia" w:ascii="楷体_GB2312" w:hAnsi="楷体_GB2312" w:eastAsia="楷体_GB2312" w:cs="楷体_GB2312"/>
          <w:color w:val="auto"/>
          <w:spacing w:val="-29"/>
        </w:rPr>
        <w:t>）</w:t>
      </w:r>
      <w:r>
        <w:rPr>
          <w:rFonts w:hint="eastAsia" w:ascii="楷体_GB2312" w:hAnsi="楷体_GB2312" w:eastAsia="楷体_GB2312" w:cs="楷体_GB2312"/>
          <w:color w:val="auto"/>
          <w:spacing w:val="-9"/>
        </w:rPr>
        <w:t>项目概况</w:t>
      </w:r>
      <w:bookmarkEnd w:id="11"/>
      <w:bookmarkEnd w:id="12"/>
    </w:p>
    <w:p>
      <w:pPr>
        <w:ind w:firstLine="643"/>
        <w:outlineLvl w:val="2"/>
        <w:rPr>
          <w:rFonts w:hint="eastAsia" w:ascii="仿宋_GB2312" w:hAnsi="仿宋_GB2312" w:eastAsia="仿宋_GB2312" w:cs="仿宋_GB2312"/>
          <w:b/>
          <w:bCs/>
          <w:color w:val="auto"/>
        </w:rPr>
      </w:pPr>
      <w:bookmarkStart w:id="13" w:name="_Toc13056"/>
      <w:bookmarkStart w:id="14" w:name="_Toc28168"/>
      <w:bookmarkStart w:id="15" w:name="_Toc4190"/>
      <w:bookmarkStart w:id="16" w:name="_Toc196493798"/>
      <w:bookmarkStart w:id="17" w:name="_Toc12127"/>
      <w:bookmarkStart w:id="18" w:name="_Toc196493417"/>
      <w:bookmarkStart w:id="19" w:name="_Toc18675"/>
      <w:r>
        <w:rPr>
          <w:rFonts w:hint="eastAsia" w:ascii="仿宋_GB2312" w:hAnsi="仿宋_GB2312" w:eastAsia="仿宋_GB2312" w:cs="仿宋_GB2312"/>
          <w:b/>
          <w:bCs/>
          <w:color w:val="auto"/>
        </w:rPr>
        <w:t>1.项目背景</w:t>
      </w:r>
      <w:bookmarkEnd w:id="13"/>
      <w:bookmarkEnd w:id="14"/>
      <w:bookmarkEnd w:id="15"/>
      <w:bookmarkEnd w:id="16"/>
      <w:bookmarkEnd w:id="17"/>
      <w:bookmarkEnd w:id="18"/>
      <w:bookmarkEnd w:id="19"/>
    </w:p>
    <w:p>
      <w:pPr>
        <w:rPr>
          <w:rFonts w:hint="eastAsia" w:ascii="仿宋_GB2312" w:hAnsi="仿宋_GB2312" w:eastAsia="仿宋_GB2312" w:cs="仿宋_GB2312"/>
          <w:color w:val="auto"/>
        </w:rPr>
      </w:pPr>
      <w:r>
        <w:rPr>
          <w:rFonts w:hint="eastAsia" w:ascii="仿宋_GB2312" w:hAnsi="仿宋_GB2312" w:eastAsia="仿宋_GB2312" w:cs="仿宋_GB2312"/>
          <w:color w:val="auto"/>
        </w:rPr>
        <w:t>海南省为提高高速公路服务水平，改善交通条件，促进海南旅游业发展，对海南环岛东线海口至三亚高速公路项目、海口至文昌高速公路改建等项目进行建设。海南省交通投资控股有限公司向进出口银行、国家开发银行等金融机构贷款，以确保项目建设用款需求，顺利推进道路建设项目。海南省交通投资控股有限公司向进出口银行、国家开发银行等金融机构共贷款756,564.73万元，用于海南环岛（东线）高速公路（琼海至三亚段）扩建工程、海南环岛东线海口至三亚高速公路项目、海口至洋浦1小时交通圈项目、海口至文昌高速公路改建项目、环岛高速公路改造工程九所至八所及邦溪至白马井段项目、海南中线屯昌至琼中段项目等6个项目建设，以及东线高速日元贷款（C21）、2016年专项置换债券（五年期）再融资债券、2016年专项置换债券（十年期）、归垫以前年度高速公路偿债缺口。</w:t>
      </w:r>
    </w:p>
    <w:p>
      <w:pPr>
        <w:pStyle w:val="17"/>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高速公路建设偿债项目起始时间为2021年，根据</w:t>
      </w:r>
      <w:bookmarkStart w:id="20" w:name="OLE_LINK8"/>
      <w:r>
        <w:rPr>
          <w:rFonts w:hint="eastAsia" w:ascii="仿宋_GB2312" w:hAnsi="仿宋_GB2312" w:eastAsia="仿宋_GB2312" w:cs="仿宋_GB2312"/>
          <w:color w:val="auto"/>
        </w:rPr>
        <w:t>《海南省交通运输厅关于批复2024年交通运输部门预算的通知》（琼交财〔2024〕68号）</w:t>
      </w:r>
      <w:bookmarkEnd w:id="20"/>
      <w:r>
        <w:rPr>
          <w:rFonts w:hint="eastAsia" w:ascii="仿宋_GB2312" w:hAnsi="仿宋_GB2312" w:eastAsia="仿宋_GB2312" w:cs="仿宋_GB2312"/>
          <w:color w:val="auto"/>
        </w:rPr>
        <w:t>，2024年该项目预算申报获得批复33,456.36万元</w:t>
      </w:r>
      <w:r>
        <w:rPr>
          <w:rFonts w:hint="eastAsia" w:ascii="仿宋_GB2312" w:hAnsi="仿宋_GB2312" w:eastAsia="仿宋_GB2312" w:cs="仿宋_GB2312"/>
          <w:color w:val="auto"/>
          <w:lang w:eastAsia="zh-CN"/>
        </w:rPr>
        <w:t>；省财政厅《关于同意调剂省交通运输厅部门预算的通知》（琼财建〔2024〕922号）调剂当年预算指标4,000万元;省财政厅《关于收回省交通运输厅2024年部分预算指标的通知》（琼财建〔2024〕1431号）收回高速公路建设偿债资金2,996万元。调剂和财政收回预算指标后，</w:t>
      </w:r>
      <w:r>
        <w:rPr>
          <w:rFonts w:hint="eastAsia" w:ascii="仿宋_GB2312" w:hAnsi="仿宋_GB2312" w:eastAsia="仿宋_GB2312" w:cs="仿宋_GB2312"/>
          <w:color w:val="auto"/>
        </w:rPr>
        <w:t>2024年计划偿还本金16,598.30万元，计划支付利息9,862.06万元。</w:t>
      </w:r>
    </w:p>
    <w:p>
      <w:pPr>
        <w:ind w:firstLine="643"/>
        <w:outlineLvl w:val="2"/>
        <w:rPr>
          <w:rFonts w:hint="eastAsia" w:ascii="仿宋_GB2312" w:hAnsi="仿宋_GB2312" w:eastAsia="仿宋_GB2312" w:cs="仿宋_GB2312"/>
          <w:b/>
          <w:bCs/>
          <w:color w:val="auto"/>
        </w:rPr>
      </w:pPr>
      <w:bookmarkStart w:id="21" w:name="_Toc21471"/>
      <w:bookmarkStart w:id="22" w:name="_Toc10119"/>
      <w:bookmarkStart w:id="23" w:name="_Toc196493418"/>
      <w:bookmarkStart w:id="24" w:name="_Toc4924"/>
      <w:bookmarkStart w:id="25" w:name="_Toc29692"/>
      <w:bookmarkStart w:id="26" w:name="_Toc196493799"/>
      <w:bookmarkStart w:id="27" w:name="_Toc29345"/>
      <w:r>
        <w:rPr>
          <w:rFonts w:hint="eastAsia" w:ascii="仿宋_GB2312" w:hAnsi="仿宋_GB2312" w:eastAsia="仿宋_GB2312" w:cs="仿宋_GB2312"/>
          <w:b/>
          <w:bCs/>
          <w:color w:val="auto"/>
        </w:rPr>
        <w:t>2.项目实施进展、资金安排及使用情况</w:t>
      </w:r>
      <w:bookmarkEnd w:id="21"/>
      <w:bookmarkEnd w:id="22"/>
      <w:bookmarkEnd w:id="23"/>
      <w:bookmarkEnd w:id="24"/>
      <w:bookmarkEnd w:id="25"/>
      <w:bookmarkEnd w:id="26"/>
      <w:bookmarkEnd w:id="27"/>
    </w:p>
    <w:p>
      <w:pPr>
        <w:pStyle w:val="17"/>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海南省交通运输厅2024年高速公路建设偿债项目预算资金26,460.36万元（其中包括本金16,598.30万元、利息9,862.06万元），资金来源的文件依据为：2024年1月31日《海南省交通运输厅关于批复2024年交通运输部门预算的通知》（琼交财〔2024〕68号）</w:t>
      </w:r>
      <w:r>
        <w:rPr>
          <w:rFonts w:hint="eastAsia" w:ascii="仿宋_GB2312" w:hAnsi="仿宋_GB2312" w:eastAsia="仿宋_GB2312" w:cs="仿宋_GB2312"/>
          <w:color w:val="auto"/>
          <w:lang w:eastAsia="zh-CN"/>
        </w:rPr>
        <w:t>；2024年9月14日，省财政厅《关于同意调剂省交通运输厅部门预算的通知》（琼财建〔2024〕922号）;2024年12月12日，省财政厅《关于收回省交通运输厅2024年部分预算指标的通知》（琼财建〔2024〕1431号）</w:t>
      </w:r>
      <w:r>
        <w:rPr>
          <w:rFonts w:hint="eastAsia" w:ascii="仿宋_GB2312" w:hAnsi="仿宋_GB2312" w:eastAsia="仿宋_GB2312" w:cs="仿宋_GB2312"/>
          <w:color w:val="auto"/>
        </w:rPr>
        <w:t>。该项目实际到位资金26,460.36万元，截至2024年12月31日实际支出资金26</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459.49万元，资金使用率100.00%。</w:t>
      </w:r>
    </w:p>
    <w:p>
      <w:pPr>
        <w:pStyle w:val="7"/>
        <w:outlineLvl w:val="1"/>
        <w:rPr>
          <w:rFonts w:hint="eastAsia" w:ascii="楷体_GB2312" w:hAnsi="楷体_GB2312" w:eastAsia="楷体_GB2312" w:cs="楷体_GB2312"/>
          <w:color w:val="auto"/>
        </w:rPr>
      </w:pPr>
      <w:bookmarkStart w:id="28" w:name="_Toc196493800"/>
      <w:bookmarkStart w:id="29" w:name="_Toc196493419"/>
      <w:r>
        <w:rPr>
          <w:rFonts w:hint="eastAsia" w:ascii="楷体_GB2312" w:hAnsi="楷体_GB2312" w:eastAsia="楷体_GB2312" w:cs="楷体_GB2312"/>
          <w:color w:val="auto"/>
        </w:rPr>
        <w:t>（二）项目绩效目标</w:t>
      </w:r>
      <w:bookmarkEnd w:id="28"/>
      <w:bookmarkEnd w:id="29"/>
    </w:p>
    <w:p>
      <w:pPr>
        <w:rPr>
          <w:rFonts w:eastAsiaTheme="minorEastAsia"/>
          <w:color w:val="auto"/>
        </w:rPr>
      </w:pPr>
      <w:r>
        <w:rPr>
          <w:rFonts w:hint="eastAsia" w:ascii="仿宋_GB2312" w:hAnsi="仿宋_GB2312" w:eastAsia="仿宋_GB2312" w:cs="仿宋_GB2312"/>
          <w:color w:val="auto"/>
        </w:rPr>
        <w:t>根据部门编制的绩效目标，评价组结合项目工作目标进行了梳理，梳理后的绩效目标及指标如下：</w:t>
      </w:r>
    </w:p>
    <w:tbl>
      <w:tblPr>
        <w:tblStyle w:val="18"/>
        <w:tblW w:w="5426"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581"/>
        <w:gridCol w:w="3018"/>
        <w:gridCol w:w="3184"/>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18" w:type="pct"/>
            <w:tcBorders>
              <w:bottom w:val="single" w:color="auto"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4"/>
                <w:lang w:bidi="ar"/>
              </w:rPr>
            </w:pPr>
            <w:r>
              <w:rPr>
                <w:rFonts w:hint="eastAsia" w:ascii="仿宋_GB2312" w:hAnsi="仿宋_GB2312" w:eastAsia="仿宋_GB2312" w:cs="仿宋_GB2312"/>
                <w:b/>
                <w:bCs/>
                <w:color w:val="auto"/>
                <w:kern w:val="0"/>
                <w:sz w:val="24"/>
                <w:lang w:bidi="ar"/>
              </w:rPr>
              <w:t>2024年</w:t>
            </w:r>
          </w:p>
          <w:p>
            <w:pPr>
              <w:widowControl/>
              <w:spacing w:line="44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总体目标</w:t>
            </w:r>
          </w:p>
        </w:tc>
        <w:tc>
          <w:tcPr>
            <w:tcW w:w="4182" w:type="pct"/>
            <w:gridSpan w:val="3"/>
            <w:tcBorders>
              <w:left w:val="nil"/>
              <w:bottom w:val="single" w:color="auto" w:sz="4" w:space="0"/>
            </w:tcBorders>
            <w:shd w:val="clear" w:color="auto" w:fill="auto"/>
            <w:vAlign w:val="center"/>
          </w:tcPr>
          <w:p>
            <w:pPr>
              <w:widowControl/>
              <w:spacing w:line="440" w:lineRule="exact"/>
              <w:ind w:firstLine="0" w:firstLineChars="0"/>
              <w:jc w:val="left"/>
              <w:textAlignment w:val="bottom"/>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降低交通系统负债率</w:t>
            </w:r>
            <w:r>
              <w:rPr>
                <w:rFonts w:hint="eastAsia" w:ascii="仿宋_GB2312" w:hAnsi="仿宋_GB2312" w:eastAsia="仿宋_GB2312" w:cs="仿宋_GB2312"/>
                <w:color w:val="auto"/>
                <w:sz w:val="24"/>
                <w:lang w:val="en-US" w:eastAsia="zh-CN"/>
              </w:rPr>
              <w:t>,通过贷款保障公路项目建设资金，提高道路服务水平情况。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18" w:type="pct"/>
            <w:tcBorders>
              <w:top w:val="single" w:color="auto"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一级指标</w:t>
            </w:r>
          </w:p>
        </w:tc>
        <w:tc>
          <w:tcPr>
            <w:tcW w:w="1561" w:type="pct"/>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二级指标</w:t>
            </w:r>
          </w:p>
        </w:tc>
        <w:tc>
          <w:tcPr>
            <w:tcW w:w="1647" w:type="pct"/>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三级指标</w:t>
            </w:r>
          </w:p>
        </w:tc>
        <w:tc>
          <w:tcPr>
            <w:tcW w:w="974" w:type="pct"/>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指标值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18" w:type="pct"/>
            <w:vMerge w:val="restart"/>
            <w:tcBorders>
              <w:top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w:t>
            </w:r>
          </w:p>
        </w:tc>
        <w:tc>
          <w:tcPr>
            <w:tcW w:w="1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产出数量</w:t>
            </w:r>
          </w:p>
        </w:tc>
        <w:tc>
          <w:tcPr>
            <w:tcW w:w="1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还本付息完成率</w:t>
            </w:r>
          </w:p>
        </w:tc>
        <w:tc>
          <w:tcPr>
            <w:tcW w:w="9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18" w:type="pct"/>
            <w:vMerge w:val="continue"/>
            <w:tcBorders>
              <w:top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1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产出质量</w:t>
            </w:r>
          </w:p>
        </w:tc>
        <w:tc>
          <w:tcPr>
            <w:tcW w:w="1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偿债资金使用</w:t>
            </w:r>
          </w:p>
        </w:tc>
        <w:tc>
          <w:tcPr>
            <w:tcW w:w="9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合规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18" w:type="pct"/>
            <w:vMerge w:val="continue"/>
            <w:tcBorders>
              <w:top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rPr>
                <w:rFonts w:hint="eastAsia" w:ascii="仿宋_GB2312" w:hAnsi="仿宋_GB2312" w:eastAsia="仿宋_GB2312" w:cs="仿宋_GB2312"/>
                <w:color w:val="auto"/>
                <w:sz w:val="24"/>
              </w:rPr>
            </w:pPr>
          </w:p>
        </w:tc>
        <w:tc>
          <w:tcPr>
            <w:tcW w:w="1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产出时效</w:t>
            </w:r>
          </w:p>
        </w:tc>
        <w:tc>
          <w:tcPr>
            <w:tcW w:w="1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按期偿债及时率</w:t>
            </w:r>
          </w:p>
        </w:tc>
        <w:tc>
          <w:tcPr>
            <w:tcW w:w="9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18" w:type="pct"/>
            <w:vMerge w:val="restart"/>
            <w:tcBorders>
              <w:top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效益</w:t>
            </w:r>
          </w:p>
        </w:tc>
        <w:tc>
          <w:tcPr>
            <w:tcW w:w="1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经济效益</w:t>
            </w:r>
          </w:p>
        </w:tc>
        <w:tc>
          <w:tcPr>
            <w:tcW w:w="1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厅机关负债余额</w:t>
            </w:r>
          </w:p>
        </w:tc>
        <w:tc>
          <w:tcPr>
            <w:tcW w:w="9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降低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18" w:type="pct"/>
            <w:vMerge w:val="continue"/>
            <w:tcBorders>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1561" w:type="pct"/>
            <w:tcBorders>
              <w:top w:val="single" w:color="000000" w:sz="4" w:space="0"/>
              <w:left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社会效益</w:t>
            </w:r>
          </w:p>
        </w:tc>
        <w:tc>
          <w:tcPr>
            <w:tcW w:w="1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道路服务水平</w:t>
            </w:r>
          </w:p>
        </w:tc>
        <w:tc>
          <w:tcPr>
            <w:tcW w:w="9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提高</w:t>
            </w:r>
          </w:p>
        </w:tc>
      </w:tr>
    </w:tbl>
    <w:p>
      <w:pPr>
        <w:pStyle w:val="7"/>
        <w:ind w:firstLine="643"/>
        <w:outlineLvl w:val="0"/>
        <w:rPr>
          <w:rFonts w:ascii="Times New Roman" w:hAnsi="Times New Roman" w:cs="Times New Roman" w:eastAsiaTheme="minorEastAsia"/>
          <w:b/>
          <w:color w:val="auto"/>
        </w:rPr>
      </w:pPr>
      <w:bookmarkStart w:id="30" w:name="_Toc196493801"/>
      <w:r>
        <w:rPr>
          <w:rFonts w:hint="eastAsia" w:ascii="黑体" w:hAnsi="黑体" w:eastAsia="黑体" w:cs="黑体"/>
          <w:b w:val="0"/>
          <w:bCs/>
          <w:color w:val="auto"/>
        </w:rPr>
        <w:t>二、绩效评价工作开展情况</w:t>
      </w:r>
      <w:bookmarkEnd w:id="30"/>
    </w:p>
    <w:p>
      <w:pPr>
        <w:pStyle w:val="7"/>
        <w:outlineLvl w:val="1"/>
        <w:rPr>
          <w:rFonts w:ascii="Times New Roman" w:hAnsi="Times New Roman" w:cs="Times New Roman" w:eastAsiaTheme="minorEastAsia"/>
          <w:color w:val="auto"/>
        </w:rPr>
      </w:pPr>
      <w:bookmarkStart w:id="31" w:name="_Toc196493802"/>
      <w:bookmarkStart w:id="32" w:name="_Toc196493421"/>
      <w:r>
        <w:rPr>
          <w:rFonts w:hint="eastAsia" w:ascii="楷体_GB2312" w:hAnsi="楷体_GB2312" w:eastAsia="楷体_GB2312" w:cs="楷体_GB2312"/>
          <w:color w:val="auto"/>
        </w:rPr>
        <w:t>（一）绩效评价目的、对象和范围</w:t>
      </w:r>
      <w:bookmarkEnd w:id="31"/>
      <w:bookmarkEnd w:id="32"/>
    </w:p>
    <w:p>
      <w:pPr>
        <w:ind w:firstLine="643"/>
        <w:outlineLvl w:val="2"/>
        <w:rPr>
          <w:rFonts w:hint="eastAsia" w:ascii="仿宋_GB2312" w:hAnsi="仿宋_GB2312" w:eastAsia="仿宋_GB2312" w:cs="仿宋_GB2312"/>
          <w:b/>
          <w:bCs/>
          <w:color w:val="auto"/>
        </w:rPr>
      </w:pPr>
      <w:bookmarkStart w:id="33" w:name="_Toc30649"/>
      <w:bookmarkStart w:id="34" w:name="_Toc16947"/>
      <w:bookmarkStart w:id="35" w:name="_Toc23754"/>
      <w:bookmarkStart w:id="36" w:name="_Toc7557"/>
      <w:bookmarkStart w:id="37" w:name="_Toc196493422"/>
      <w:bookmarkStart w:id="38" w:name="_Toc28648"/>
      <w:bookmarkStart w:id="39" w:name="_Toc196493803"/>
      <w:r>
        <w:rPr>
          <w:rFonts w:hint="eastAsia" w:ascii="仿宋_GB2312" w:hAnsi="仿宋_GB2312" w:eastAsia="仿宋_GB2312" w:cs="仿宋_GB2312"/>
          <w:b/>
          <w:bCs/>
          <w:color w:val="auto"/>
        </w:rPr>
        <w:t>1.</w:t>
      </w:r>
      <w:r>
        <w:rPr>
          <w:rFonts w:hint="eastAsia" w:ascii="仿宋_GB2312" w:hAnsi="仿宋_GB2312" w:eastAsia="仿宋_GB2312" w:cs="仿宋_GB2312"/>
          <w:b/>
          <w:bCs/>
          <w:color w:val="auto"/>
          <w:lang w:eastAsia="zh-Hans"/>
        </w:rPr>
        <w:t>绩效评价目的</w:t>
      </w:r>
      <w:bookmarkEnd w:id="33"/>
      <w:bookmarkEnd w:id="34"/>
      <w:bookmarkEnd w:id="35"/>
      <w:bookmarkEnd w:id="36"/>
      <w:bookmarkEnd w:id="37"/>
      <w:bookmarkEnd w:id="38"/>
      <w:bookmarkEnd w:id="39"/>
    </w:p>
    <w:p>
      <w:pPr>
        <w:rPr>
          <w:rFonts w:hint="eastAsia" w:ascii="仿宋_GB2312" w:hAnsi="仿宋_GB2312" w:eastAsia="仿宋_GB2312" w:cs="仿宋_GB2312"/>
          <w:color w:val="auto"/>
        </w:rPr>
      </w:pPr>
      <w:r>
        <w:rPr>
          <w:rFonts w:hint="eastAsia" w:ascii="仿宋_GB2312" w:hAnsi="仿宋_GB2312" w:eastAsia="仿宋_GB2312" w:cs="仿宋_GB2312"/>
          <w:color w:val="auto"/>
        </w:rPr>
        <w:t>财政支出绩效评价旨在通过评价改善部门的财政支出管理，优化资源配置及提高公共服务水平。结合绩效评价基本原理和项目特点，本次绩效评价的目的主要包括以下三个方面：</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（1）</w:t>
      </w:r>
      <w:r>
        <w:rPr>
          <w:rFonts w:hint="eastAsia" w:ascii="仿宋_GB2312" w:hAnsi="仿宋_GB2312" w:eastAsia="仿宋_GB2312" w:cs="仿宋_GB2312"/>
          <w:color w:val="auto"/>
        </w:rPr>
        <w:t>围绕项目年度预算编制、预算执行、工作计划完成情况，对项目开展的经济性进行评价，总结预算管理中的经验，分析预算编制中存在的不足，并针对项目以后年度预算编制提供可行性参考建议。</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（2）</w:t>
      </w:r>
      <w:r>
        <w:rPr>
          <w:rFonts w:hint="eastAsia" w:ascii="仿宋_GB2312" w:hAnsi="仿宋_GB2312" w:eastAsia="仿宋_GB2312" w:cs="仿宋_GB2312"/>
          <w:color w:val="auto"/>
        </w:rPr>
        <w:t>围绕项目管理、财务管理和采购管理的规范性、年度项目产出质量、年度工作完成及时性等方面，对项目开展的效率性进行评价，总结项目管理中的经验做法，从而为本项目以后年度项目管理优化提供参考建议。</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（3）</w:t>
      </w:r>
      <w:r>
        <w:rPr>
          <w:rFonts w:hint="eastAsia" w:ascii="仿宋_GB2312" w:hAnsi="仿宋_GB2312" w:eastAsia="仿宋_GB2312" w:cs="仿宋_GB2312"/>
          <w:color w:val="auto"/>
        </w:rPr>
        <w:t>围绕年度项目效果及受益对象满意度调查结果，对项目开展的效益性进行评价。</w:t>
      </w:r>
    </w:p>
    <w:p>
      <w:pPr>
        <w:ind w:firstLine="643"/>
        <w:outlineLvl w:val="2"/>
        <w:rPr>
          <w:rFonts w:hint="eastAsia" w:ascii="仿宋_GB2312" w:hAnsi="仿宋_GB2312" w:eastAsia="仿宋_GB2312" w:cs="仿宋_GB2312"/>
          <w:b/>
          <w:bCs/>
          <w:color w:val="auto"/>
          <w:lang w:eastAsia="zh-Hans"/>
        </w:rPr>
      </w:pPr>
      <w:bookmarkStart w:id="40" w:name="_Toc196493423"/>
      <w:bookmarkStart w:id="41" w:name="_Toc9966"/>
      <w:bookmarkStart w:id="42" w:name="_Toc196493804"/>
      <w:bookmarkStart w:id="43" w:name="_Toc7137"/>
      <w:bookmarkStart w:id="44" w:name="_Toc18789"/>
      <w:bookmarkStart w:id="45" w:name="_Toc19406"/>
      <w:bookmarkStart w:id="46" w:name="_Toc12045"/>
      <w:r>
        <w:rPr>
          <w:rFonts w:hint="eastAsia" w:ascii="仿宋_GB2312" w:hAnsi="仿宋_GB2312" w:eastAsia="仿宋_GB2312" w:cs="仿宋_GB2312"/>
          <w:b/>
          <w:bCs/>
          <w:color w:val="auto"/>
        </w:rPr>
        <w:t>2.</w:t>
      </w:r>
      <w:r>
        <w:rPr>
          <w:rFonts w:hint="eastAsia" w:ascii="仿宋_GB2312" w:hAnsi="仿宋_GB2312" w:eastAsia="仿宋_GB2312" w:cs="仿宋_GB2312"/>
          <w:b/>
          <w:bCs/>
          <w:color w:val="auto"/>
          <w:lang w:eastAsia="zh-Hans"/>
        </w:rPr>
        <w:t>绩效评价对象与范围</w:t>
      </w:r>
      <w:bookmarkEnd w:id="40"/>
      <w:bookmarkEnd w:id="41"/>
      <w:bookmarkEnd w:id="42"/>
      <w:bookmarkEnd w:id="43"/>
      <w:bookmarkEnd w:id="44"/>
      <w:bookmarkEnd w:id="45"/>
      <w:bookmarkEnd w:id="46"/>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本次绩效评价的对象为</w:t>
      </w:r>
      <w:r>
        <w:rPr>
          <w:rFonts w:hint="eastAsia" w:ascii="仿宋_GB2312" w:hAnsi="仿宋_GB2312" w:eastAsia="仿宋_GB2312" w:cs="仿宋_GB2312"/>
          <w:color w:val="auto"/>
        </w:rPr>
        <w:t>海南省交通运输厅2024年高速公路建设偿债项目，项目预算为</w:t>
      </w:r>
      <w:bookmarkStart w:id="47" w:name="OLE_LINK1"/>
      <w:r>
        <w:rPr>
          <w:rFonts w:hint="eastAsia" w:ascii="仿宋_GB2312" w:hAnsi="仿宋_GB2312" w:eastAsia="仿宋_GB2312" w:cs="仿宋_GB2312"/>
          <w:color w:val="auto"/>
        </w:rPr>
        <w:t>26,460.36</w:t>
      </w:r>
      <w:bookmarkEnd w:id="47"/>
      <w:r>
        <w:rPr>
          <w:rFonts w:hint="eastAsia" w:ascii="仿宋_GB2312" w:hAnsi="仿宋_GB2312" w:eastAsia="仿宋_GB2312" w:cs="仿宋_GB2312"/>
          <w:color w:val="auto"/>
        </w:rPr>
        <w:t>万元。</w:t>
      </w:r>
    </w:p>
    <w:p>
      <w:pPr>
        <w:pStyle w:val="7"/>
        <w:outlineLvl w:val="1"/>
        <w:rPr>
          <w:rFonts w:hint="eastAsia" w:ascii="楷体_GB2312" w:hAnsi="楷体_GB2312" w:eastAsia="楷体_GB2312" w:cs="楷体_GB2312"/>
          <w:color w:val="auto"/>
        </w:rPr>
      </w:pPr>
      <w:bookmarkStart w:id="48" w:name="_Toc7350"/>
      <w:bookmarkStart w:id="49" w:name="_Toc196493424"/>
      <w:bookmarkStart w:id="50" w:name="_Toc196493805"/>
      <w:r>
        <w:rPr>
          <w:rFonts w:hint="eastAsia" w:ascii="楷体_GB2312" w:hAnsi="楷体_GB2312" w:eastAsia="楷体_GB2312" w:cs="楷体_GB2312"/>
          <w:color w:val="auto"/>
        </w:rPr>
        <w:t>（二）绩效评价原则、评价指标体系、评价方法、评价标准</w:t>
      </w:r>
      <w:bookmarkEnd w:id="48"/>
      <w:bookmarkEnd w:id="49"/>
      <w:bookmarkEnd w:id="50"/>
    </w:p>
    <w:p>
      <w:pPr>
        <w:ind w:firstLine="643"/>
        <w:outlineLvl w:val="2"/>
        <w:rPr>
          <w:rFonts w:hint="eastAsia" w:ascii="仿宋_GB2312" w:hAnsi="仿宋_GB2312" w:eastAsia="仿宋_GB2312" w:cs="仿宋_GB2312"/>
          <w:b/>
          <w:bCs/>
          <w:color w:val="auto"/>
        </w:rPr>
      </w:pPr>
      <w:bookmarkStart w:id="51" w:name="_Toc19633"/>
      <w:bookmarkStart w:id="52" w:name="_Toc26501"/>
      <w:bookmarkStart w:id="53" w:name="_Toc196493806"/>
      <w:bookmarkStart w:id="54" w:name="_Toc15447"/>
      <w:bookmarkStart w:id="55" w:name="_Toc196493425"/>
      <w:bookmarkStart w:id="56" w:name="_Toc27098"/>
      <w:bookmarkStart w:id="57" w:name="_Toc28353"/>
      <w:r>
        <w:rPr>
          <w:rFonts w:hint="eastAsia" w:ascii="仿宋_GB2312" w:hAnsi="仿宋_GB2312" w:eastAsia="仿宋_GB2312" w:cs="仿宋_GB2312"/>
          <w:b/>
          <w:bCs/>
          <w:color w:val="auto"/>
        </w:rPr>
        <w:t>1.</w:t>
      </w:r>
      <w:bookmarkStart w:id="58" w:name="_Toc2331"/>
      <w:bookmarkStart w:id="59" w:name="_Toc54107604"/>
      <w:r>
        <w:rPr>
          <w:rFonts w:hint="eastAsia" w:ascii="仿宋_GB2312" w:hAnsi="仿宋_GB2312" w:eastAsia="仿宋_GB2312" w:cs="仿宋_GB2312"/>
          <w:b/>
          <w:bCs/>
          <w:color w:val="auto"/>
        </w:rPr>
        <w:t>绩效评价原则</w:t>
      </w:r>
      <w:bookmarkEnd w:id="51"/>
      <w:bookmarkEnd w:id="52"/>
      <w:bookmarkEnd w:id="53"/>
      <w:bookmarkEnd w:id="54"/>
      <w:bookmarkEnd w:id="55"/>
      <w:bookmarkEnd w:id="56"/>
      <w:bookmarkEnd w:id="57"/>
      <w:bookmarkEnd w:id="58"/>
      <w:bookmarkEnd w:id="59"/>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本次</w:t>
      </w:r>
      <w:r>
        <w:rPr>
          <w:rFonts w:hint="eastAsia" w:ascii="仿宋_GB2312" w:hAnsi="仿宋_GB2312" w:eastAsia="仿宋_GB2312" w:cs="仿宋_GB2312"/>
          <w:color w:val="auto"/>
        </w:rPr>
        <w:t>绩效评价遵循以下基本原则：</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（1）</w:t>
      </w:r>
      <w:r>
        <w:rPr>
          <w:rFonts w:hint="eastAsia" w:ascii="仿宋_GB2312" w:hAnsi="仿宋_GB2312" w:eastAsia="仿宋_GB2312" w:cs="仿宋_GB2312"/>
          <w:color w:val="auto"/>
        </w:rPr>
        <w:t>科学公正。绩效评价应当运用科学合理的方法，按照规范的程序，对项目绩效进行客观、公正的反映。</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（2）公开透明。绩效评价结果依法依规公开，自觉接受社会监督。</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（3）</w:t>
      </w:r>
      <w:r>
        <w:rPr>
          <w:rFonts w:hint="eastAsia" w:ascii="仿宋_GB2312" w:hAnsi="仿宋_GB2312" w:eastAsia="仿宋_GB2312" w:cs="仿宋_GB2312"/>
          <w:color w:val="auto"/>
        </w:rPr>
        <w:t>激励约束。绩效评价结果与预算安排、政策调整、改进管理实质性挂钩，体现奖优罚劣和激励相容导向，有效要安排、低效要压减、无效要问责。</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绩效评价指标是指衡量绩效目标实现程度的考核工具。在确定</w:t>
      </w:r>
      <w:r>
        <w:rPr>
          <w:rFonts w:hint="eastAsia" w:ascii="仿宋_GB2312" w:hAnsi="仿宋_GB2312" w:eastAsia="仿宋_GB2312" w:cs="仿宋_GB2312"/>
          <w:color w:val="auto"/>
        </w:rPr>
        <w:t>绩效评价指标</w:t>
      </w:r>
      <w:r>
        <w:rPr>
          <w:rFonts w:hint="eastAsia" w:ascii="仿宋_GB2312" w:hAnsi="仿宋_GB2312" w:eastAsia="仿宋_GB2312" w:cs="仿宋_GB2312"/>
          <w:color w:val="auto"/>
          <w:lang w:eastAsia="zh-Hans"/>
        </w:rPr>
        <w:t>时，</w:t>
      </w:r>
      <w:r>
        <w:rPr>
          <w:rFonts w:hint="eastAsia" w:ascii="仿宋_GB2312" w:hAnsi="仿宋_GB2312" w:eastAsia="仿宋_GB2312" w:cs="仿宋_GB2312"/>
          <w:color w:val="auto"/>
        </w:rPr>
        <w:t>遵循以下原则：</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（1）相关性原则。绩效评价指标应当与绩效目标有直接的联系，能够恰当反映目标的实现程度。</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（2）重要性原则。应当优先使用最具评价对象代表性、最能反映评价要求的核心指标。</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（3）可比性原则。对同类评价对象要设定共性的绩效评价指标，以便于评价结果可以相互比较。</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（4）系统性原则。绩效评价指标的设置应当将定量指标与定性指标相结合，能系统反映财政支出所产生的社会效益、经济效益和可持续影响等。</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（5）经济性原则。绩效评价指标设计应当通俗易懂、简便易行，数据的获得应当考虑现实条件和可操作性，符合成本效益原则。</w:t>
      </w:r>
    </w:p>
    <w:p>
      <w:pPr>
        <w:ind w:firstLine="643"/>
        <w:outlineLvl w:val="2"/>
        <w:rPr>
          <w:rFonts w:hint="eastAsia" w:ascii="仿宋_GB2312" w:hAnsi="仿宋_GB2312" w:eastAsia="仿宋_GB2312" w:cs="仿宋_GB2312"/>
          <w:b/>
          <w:bCs/>
          <w:color w:val="auto"/>
          <w:lang w:eastAsia="zh-Hans"/>
        </w:rPr>
      </w:pPr>
      <w:bookmarkStart w:id="60" w:name="_Toc13751"/>
      <w:bookmarkStart w:id="61" w:name="_Toc23489"/>
      <w:bookmarkStart w:id="62" w:name="_Toc17855"/>
      <w:bookmarkStart w:id="63" w:name="_Toc14819"/>
      <w:bookmarkStart w:id="64" w:name="_Toc25969"/>
      <w:bookmarkStart w:id="65" w:name="_Toc196493807"/>
      <w:bookmarkStart w:id="66" w:name="_Toc196493426"/>
      <w:r>
        <w:rPr>
          <w:rFonts w:hint="eastAsia" w:ascii="仿宋_GB2312" w:hAnsi="仿宋_GB2312" w:eastAsia="仿宋_GB2312" w:cs="仿宋_GB2312"/>
          <w:b/>
          <w:bCs/>
          <w:color w:val="auto"/>
          <w:lang w:eastAsia="zh-Hans"/>
        </w:rPr>
        <w:t>2.绩效评价方法</w:t>
      </w:r>
      <w:bookmarkEnd w:id="60"/>
      <w:bookmarkEnd w:id="61"/>
      <w:bookmarkEnd w:id="62"/>
      <w:bookmarkEnd w:id="63"/>
      <w:bookmarkEnd w:id="64"/>
      <w:bookmarkEnd w:id="65"/>
      <w:bookmarkEnd w:id="66"/>
    </w:p>
    <w:p>
      <w:pPr>
        <w:rPr>
          <w:rFonts w:hint="eastAsia" w:ascii="仿宋_GB2312" w:hAnsi="仿宋_GB2312" w:eastAsia="仿宋_GB2312" w:cs="仿宋_GB2312"/>
          <w:color w:val="auto"/>
        </w:rPr>
      </w:pPr>
      <w:r>
        <w:rPr>
          <w:rFonts w:hint="eastAsia" w:ascii="仿宋_GB2312" w:hAnsi="仿宋_GB2312" w:eastAsia="仿宋_GB2312" w:cs="仿宋_GB2312"/>
          <w:color w:val="auto"/>
        </w:rPr>
        <w:t>本次评价将综合运用比较分析法、因素分析法、成本收益分析法、逻辑分析法等多种方法从多个角度进行分析。</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 xml:space="preserve">（1）成本效益分析法。是指将投入与产出、效益进行关联性分析的方法。 </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（2）比较法。是指将实施情况与绩效目标、历史情况、不同部门和地区同类支出情况进行比较的方法。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（3）因素分析法。是指综合分析影响绩效目标实现、实施效果的内外部因素的方法。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（4）最低成本法。是指在绩效目标确定的前提下，成本最小者为优的方法。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（5）公众评判法。是指通过专家评估、公众问卷及抽样调查等方式进行评判的方法。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（6）标杆管理法。是指以国内外同行业中较高的绩效水平为标杆进行评判的方法。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（7）其他评价方法。</w:t>
      </w:r>
    </w:p>
    <w:p>
      <w:pPr>
        <w:ind w:firstLine="643"/>
        <w:outlineLvl w:val="2"/>
        <w:rPr>
          <w:rFonts w:hint="eastAsia" w:ascii="仿宋_GB2312" w:hAnsi="仿宋_GB2312" w:eastAsia="仿宋_GB2312" w:cs="仿宋_GB2312"/>
          <w:b/>
          <w:bCs/>
          <w:color w:val="auto"/>
          <w:lang w:eastAsia="zh-Hans"/>
        </w:rPr>
      </w:pPr>
      <w:bookmarkStart w:id="67" w:name="_Toc4537"/>
      <w:bookmarkStart w:id="68" w:name="_Toc7612"/>
      <w:bookmarkStart w:id="69" w:name="_Toc19431"/>
      <w:bookmarkStart w:id="70" w:name="_Toc196493808"/>
      <w:bookmarkStart w:id="71" w:name="_Toc24945"/>
      <w:bookmarkStart w:id="72" w:name="_Toc18616"/>
      <w:bookmarkStart w:id="73" w:name="_Toc196493427"/>
      <w:r>
        <w:rPr>
          <w:rFonts w:hint="eastAsia" w:ascii="仿宋_GB2312" w:hAnsi="仿宋_GB2312" w:eastAsia="仿宋_GB2312" w:cs="仿宋_GB2312"/>
          <w:b/>
          <w:bCs/>
          <w:color w:val="auto"/>
        </w:rPr>
        <w:t>3.</w:t>
      </w:r>
      <w:r>
        <w:rPr>
          <w:rFonts w:hint="eastAsia" w:ascii="仿宋_GB2312" w:hAnsi="仿宋_GB2312" w:eastAsia="仿宋_GB2312" w:cs="仿宋_GB2312"/>
          <w:b/>
          <w:bCs/>
          <w:color w:val="auto"/>
          <w:lang w:eastAsia="zh-Hans"/>
        </w:rPr>
        <w:t>绩效评价标准</w:t>
      </w:r>
      <w:bookmarkEnd w:id="67"/>
      <w:bookmarkEnd w:id="68"/>
      <w:bookmarkEnd w:id="69"/>
      <w:bookmarkEnd w:id="70"/>
      <w:bookmarkEnd w:id="71"/>
      <w:bookmarkEnd w:id="72"/>
      <w:bookmarkEnd w:id="73"/>
    </w:p>
    <w:p>
      <w:pPr>
        <w:rPr>
          <w:rFonts w:hint="eastAsia" w:ascii="仿宋_GB2312" w:hAnsi="仿宋_GB2312" w:eastAsia="仿宋_GB2312" w:cs="仿宋_GB2312"/>
          <w:color w:val="auto"/>
        </w:rPr>
      </w:pPr>
      <w:r>
        <w:rPr>
          <w:rFonts w:hint="eastAsia" w:ascii="仿宋_GB2312" w:hAnsi="仿宋_GB2312" w:eastAsia="仿宋_GB2312" w:cs="仿宋_GB2312"/>
          <w:color w:val="auto"/>
        </w:rPr>
        <w:t>绩效评价标准包括计划标准、行业标准、历史标准等，用于对绩效指标完成情况进行比较。</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（1）计划标准。指以预先制定的目标、计划、预算、定额等作为评价标准。</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（2）行业标准。指参照国家公布的行业指标数据制定的评价标准。</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（3）历史标准。指参照历史数据制定的评价标准，为体现绩效改进的原则，在可实现的条件下应当确定相对较高的评价标准。</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（4）财政部门和预算部门确认或认可的其他标准。</w:t>
      </w:r>
    </w:p>
    <w:p>
      <w:pPr>
        <w:ind w:firstLine="643"/>
        <w:outlineLvl w:val="2"/>
        <w:rPr>
          <w:rFonts w:hint="eastAsia" w:ascii="仿宋_GB2312" w:hAnsi="仿宋_GB2312" w:eastAsia="仿宋_GB2312" w:cs="仿宋_GB2312"/>
          <w:b/>
          <w:bCs/>
          <w:color w:val="auto"/>
          <w:lang w:eastAsia="zh-Hans"/>
        </w:rPr>
      </w:pPr>
      <w:bookmarkStart w:id="74" w:name="_Toc196493809"/>
      <w:bookmarkStart w:id="75" w:name="_Toc28363"/>
      <w:bookmarkStart w:id="76" w:name="_Toc23877"/>
      <w:bookmarkStart w:id="77" w:name="_Toc20836"/>
      <w:bookmarkStart w:id="78" w:name="_Toc196493428"/>
      <w:bookmarkStart w:id="79" w:name="_Toc29334"/>
      <w:bookmarkStart w:id="80" w:name="_Toc26128"/>
      <w:r>
        <w:rPr>
          <w:rFonts w:hint="eastAsia" w:ascii="仿宋_GB2312" w:hAnsi="仿宋_GB2312" w:eastAsia="仿宋_GB2312" w:cs="仿宋_GB2312"/>
          <w:b/>
          <w:bCs/>
          <w:color w:val="auto"/>
        </w:rPr>
        <w:t>4</w:t>
      </w:r>
      <w:r>
        <w:rPr>
          <w:rFonts w:hint="eastAsia" w:ascii="仿宋_GB2312" w:hAnsi="仿宋_GB2312" w:eastAsia="仿宋_GB2312" w:cs="仿宋_GB2312"/>
          <w:b/>
          <w:bCs/>
          <w:color w:val="auto"/>
          <w:lang w:eastAsia="zh-Hans"/>
        </w:rPr>
        <w:t>.评价指标体系</w:t>
      </w:r>
      <w:bookmarkEnd w:id="74"/>
      <w:bookmarkEnd w:id="75"/>
      <w:bookmarkEnd w:id="76"/>
      <w:bookmarkEnd w:id="77"/>
      <w:bookmarkEnd w:id="78"/>
      <w:bookmarkEnd w:id="79"/>
      <w:bookmarkEnd w:id="80"/>
    </w:p>
    <w:p>
      <w:pPr>
        <w:rPr>
          <w:rFonts w:hint="eastAsia" w:ascii="仿宋_GB2312" w:hAnsi="仿宋_GB2312" w:eastAsia="仿宋_GB2312" w:cs="仿宋_GB2312"/>
          <w:color w:val="auto"/>
        </w:rPr>
      </w:pPr>
      <w:r>
        <w:rPr>
          <w:rFonts w:hint="eastAsia" w:ascii="仿宋_GB2312" w:hAnsi="仿宋_GB2312" w:eastAsia="仿宋_GB2312" w:cs="仿宋_GB2312"/>
          <w:color w:val="auto"/>
        </w:rPr>
        <w:t>根据绩效评价的基本原理、原则和项目特点，结合绩效目标，由评价组按照逻辑分析法设计绩效评价指标体系，从项目决策、项目管理、项目产出、项目效果等四部分内容，围绕项目立项、目标设定、资金预算、资金使用、资源配置、项目管理、项目产出、项目效益的绩效逻辑路径展开评价，保证评价的科学性、严谨性和可行性。</w:t>
      </w:r>
    </w:p>
    <w:p>
      <w:pPr>
        <w:rPr>
          <w:rFonts w:hint="eastAsia" w:ascii="仿宋_GB2312" w:hAnsi="仿宋_GB2312" w:eastAsia="仿宋_GB2312" w:cs="仿宋_GB2312"/>
          <w:color w:val="auto"/>
          <w:lang w:eastAsia="zh-Hans"/>
        </w:rPr>
        <w:sectPr>
          <w:headerReference r:id="rId13" w:type="default"/>
          <w:footerReference r:id="rId14" w:type="default"/>
          <w:pgSz w:w="11906" w:h="16838"/>
          <w:pgMar w:top="1440" w:right="1418" w:bottom="1440" w:left="1797" w:header="851" w:footer="992" w:gutter="0"/>
          <w:pgNumType w:start="1"/>
          <w:cols w:space="0" w:num="1"/>
          <w:docGrid w:type="lines" w:linePitch="435" w:charSpace="0"/>
        </w:sectPr>
      </w:pPr>
      <w:r>
        <w:rPr>
          <w:rFonts w:hint="eastAsia" w:ascii="仿宋_GB2312" w:hAnsi="仿宋_GB2312" w:eastAsia="仿宋_GB2312" w:cs="仿宋_GB2312"/>
          <w:color w:val="auto"/>
          <w:lang w:eastAsia="zh-Hans"/>
        </w:rPr>
        <w:t>评价指标体系如下：</w:t>
      </w:r>
    </w:p>
    <w:p>
      <w:pPr>
        <w:pStyle w:val="17"/>
        <w:ind w:left="0" w:leftChars="0" w:firstLine="0" w:firstLineChars="0"/>
        <w:jc w:val="center"/>
        <w:rPr>
          <w:rFonts w:hint="eastAsia" w:ascii="仿宋_GB2312" w:hAnsi="仿宋_GB2312" w:eastAsia="仿宋_GB2312" w:cs="仿宋_GB2312"/>
          <w:color w:val="auto"/>
          <w:lang w:eastAsia="zh-Hans"/>
        </w:rPr>
      </w:pPr>
      <w:r>
        <w:rPr>
          <w:rFonts w:hint="eastAsia" w:ascii="仿宋_GB2312" w:hAnsi="仿宋_GB2312" w:eastAsia="仿宋_GB2312" w:cs="仿宋_GB2312"/>
          <w:b/>
          <w:bCs/>
          <w:color w:val="auto"/>
          <w:lang w:eastAsia="zh-Hans"/>
        </w:rPr>
        <w:t>绩效评价指标体系表</w:t>
      </w:r>
    </w:p>
    <w:tbl>
      <w:tblPr>
        <w:tblStyle w:val="18"/>
        <w:tblW w:w="4996" w:type="pct"/>
        <w:tblInd w:w="0" w:type="dxa"/>
        <w:tblLayout w:type="fixed"/>
        <w:tblCellMar>
          <w:top w:w="0" w:type="dxa"/>
          <w:left w:w="108" w:type="dxa"/>
          <w:bottom w:w="0" w:type="dxa"/>
          <w:right w:w="108" w:type="dxa"/>
        </w:tblCellMar>
      </w:tblPr>
      <w:tblGrid>
        <w:gridCol w:w="740"/>
        <w:gridCol w:w="979"/>
        <w:gridCol w:w="1186"/>
        <w:gridCol w:w="1021"/>
        <w:gridCol w:w="772"/>
        <w:gridCol w:w="2365"/>
        <w:gridCol w:w="4489"/>
        <w:gridCol w:w="2276"/>
      </w:tblGrid>
      <w:tr>
        <w:tblPrEx>
          <w:tblCellMar>
            <w:top w:w="0" w:type="dxa"/>
            <w:left w:w="108" w:type="dxa"/>
            <w:bottom w:w="0" w:type="dxa"/>
            <w:right w:w="108" w:type="dxa"/>
          </w:tblCellMar>
        </w:tblPrEx>
        <w:trPr>
          <w:trHeight w:val="23" w:hRule="atLeast"/>
          <w:tblHeader/>
        </w:trPr>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kern w:val="0"/>
                <w:sz w:val="24"/>
                <w:lang w:bidi="ar"/>
              </w:rPr>
            </w:pPr>
            <w:r>
              <w:rPr>
                <w:rFonts w:hint="eastAsia" w:ascii="仿宋_GB2312" w:hAnsi="仿宋_GB2312" w:eastAsia="仿宋_GB2312" w:cs="仿宋_GB2312"/>
                <w:b/>
                <w:bCs/>
                <w:color w:val="auto"/>
                <w:kern w:val="0"/>
                <w:sz w:val="24"/>
                <w:lang w:bidi="ar"/>
              </w:rPr>
              <w:t>一级</w:t>
            </w:r>
          </w:p>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指标</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kern w:val="0"/>
                <w:sz w:val="24"/>
                <w:lang w:bidi="ar"/>
              </w:rPr>
            </w:pPr>
            <w:r>
              <w:rPr>
                <w:rFonts w:hint="eastAsia" w:ascii="仿宋_GB2312" w:hAnsi="仿宋_GB2312" w:eastAsia="仿宋_GB2312" w:cs="仿宋_GB2312"/>
                <w:b/>
                <w:bCs/>
                <w:color w:val="auto"/>
                <w:kern w:val="0"/>
                <w:sz w:val="24"/>
                <w:lang w:bidi="ar"/>
              </w:rPr>
              <w:t>二级</w:t>
            </w:r>
          </w:p>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指标</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kern w:val="0"/>
                <w:sz w:val="24"/>
                <w:lang w:bidi="ar"/>
              </w:rPr>
            </w:pPr>
            <w:r>
              <w:rPr>
                <w:rFonts w:hint="eastAsia" w:ascii="仿宋_GB2312" w:hAnsi="仿宋_GB2312" w:eastAsia="仿宋_GB2312" w:cs="仿宋_GB2312"/>
                <w:b/>
                <w:bCs/>
                <w:color w:val="auto"/>
                <w:kern w:val="0"/>
                <w:sz w:val="24"/>
                <w:lang w:bidi="ar"/>
              </w:rPr>
              <w:t>三级</w:t>
            </w:r>
          </w:p>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指标</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目标值</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权重</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指标解释</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评价要点</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评分规则</w:t>
            </w:r>
          </w:p>
        </w:tc>
      </w:tr>
      <w:tr>
        <w:tblPrEx>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决策（16分）　</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项目立项（4分）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立项依据充分性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充分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项目立项是否符合法律法规、相关政策、发展规划以及部门职责，用以反映和考核项目立项依据情况。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满足一项得20%权重分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立项程序规范性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规范</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项目申请、设立过程是否符合相关要求，用以反映和考核项目立项的规范情况。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评价要点：①项目是否按照规定的程序申请设立；②审批文件、材料是否符合相关要求；③事前是否已经过必要的可行性研究、专家论证、风险评估、绩效评估、集体决策。</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满足一项得1/3权重分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绩效目标（4分）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绩效目标合理性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项目所设定的绩效目标是否依据充分，是否符合客观实际，用以反映和考核项目绩效目标与项目实施的相符情况。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绩效指标明确性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明确</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依据绩效目标设定的绩效指标是否清晰、细化、可衡量等，用以反映和考核项目绩效目标的明细化情况。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评价要点：①是否将项目绩效目标细化分解为具体的绩效指标；②是否通过清晰、可衡量的指标值予以体现；③是否与项目目标任务数或计划数相对应。</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满足一项得1/3权重分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资金投入（8分）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预算编制科学性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科学</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项目预算编制是否经过科学论证、有明确标准，资金额度与年度目标是否相适应，用以反映和考核项目预算编制的科学性、合理性情况。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评价要点：①预算编制是否经过科学论证；②预算内容与项目内容是否匹配；③预算额度测算依据是否充分，是否按照标准编制；④预算确定的项目投资额或资金量是否与工作任务相匹配。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资金分配合理性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项目预算资金分配是否有测算依据，与补助单位或地方实际是否相适应，用以反映和考核项目预算资金分配的科学性、合理性情况。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评价要点：①预算资金分配依据是否充分；②资金分配额度是否合理，与项目单位或地方实际是否相适应。</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满足一项得50%权重分。</w:t>
            </w:r>
          </w:p>
        </w:tc>
      </w:tr>
      <w:tr>
        <w:tblPrEx>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过程（24分）</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资金管理（14分）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资金到位率</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实际到位资金与预算资金的比率，用以反映和考核资金落实情况对项目实施的总体保障程度。</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资金到位率=（实际到位资金/预算资金）×100%。</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实际到位资金：一定时期（本年度或项目期）内落实到具体项目的资金。</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预算资金：一定时期（本年度或项目期）内预算安排到具体项目的资金。</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100%得满分权重分，每下降1%扣1%权重分，直至零分。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预算执行率</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项目预算资金是否按照计划执行，用以反映或考核项目预算执行情况。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预算执行率=（实际支出资金/实际到位资金）×100%。</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实际支出资金：一定时期（本年度或项目期）内项目实际拨付的资金。</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100%得满分权重分，每下降1%扣1%权重分，直至零分。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资金使用合规性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合规</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项目资金使用是否符合相关的财务管理制度规定，用以反映和考核项目资金的规范运行情况。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条件④不满足，本指标不得分；条件④满足，其余三项每满足1项得1/3权重分。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组织实施（10分）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管理制度健全性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健全</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项目实施单位的财务和业务管理制度是否健全，用以反映和考核财务和业务管理制度对项目顺利实施的保障情况。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评价要点：①是否已制定或具有相应的财务和业务管理制度；②财务和业务管理制度是否合法、合规、完整。</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满足一项得50%权重分。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制度执行有效性</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有效</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项目实施是否符合相关管理规定，用以反映和考核相关管理制度的有效执行情况。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r>
      <w:tr>
        <w:tblPrEx>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产出（30分）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产出数量(12分）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还本付息完成率</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考察还本付息完成率。</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业绩值=还本付息完成数量/还本付息总数*100%。</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达到100%得满分权重分，每下降1%扣1%权重分，直至零分。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产出质量（12分）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偿债资金使用合规</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合规</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考察偿债资金使用是否合规。</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偿还资金使用符合资金使用要求</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达到目标值得满分，否则不得分。</w:t>
            </w:r>
          </w:p>
        </w:tc>
      </w:tr>
      <w:tr>
        <w:tblPrEx>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产出时效（6分）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按期偿债及时率</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考察是否按计划及时还款。</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业绩值=实际还款日期/应还款日期*100%。</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≥95%得满分权重分，每下降1%扣1%权重分，直至零分。</w:t>
            </w:r>
          </w:p>
        </w:tc>
      </w:tr>
      <w:tr>
        <w:tblPrEx>
          <w:tblCellMar>
            <w:top w:w="0" w:type="dxa"/>
            <w:left w:w="108" w:type="dxa"/>
            <w:bottom w:w="0" w:type="dxa"/>
            <w:right w:w="108" w:type="dxa"/>
          </w:tblCellMar>
        </w:tblPrEx>
        <w:trPr>
          <w:trHeight w:val="23" w:hRule="atLeast"/>
        </w:trPr>
        <w:tc>
          <w:tcPr>
            <w:tcW w:w="268" w:type="pct"/>
            <w:vMerge w:val="restart"/>
            <w:tcBorders>
              <w:top w:val="single" w:color="auto" w:sz="4" w:space="0"/>
              <w:left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效益（30分）</w:t>
            </w:r>
          </w:p>
        </w:tc>
        <w:tc>
          <w:tcPr>
            <w:tcW w:w="354"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经济效益（15分）</w:t>
            </w:r>
          </w:p>
        </w:tc>
        <w:tc>
          <w:tcPr>
            <w:tcW w:w="429"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厅机关负债余额</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降低</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考察项目实施后负债减少情况。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项目实施降低了交通运输厅负债余额。</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达到目标值得满分，否则不得分。</w:t>
            </w:r>
          </w:p>
        </w:tc>
      </w:tr>
      <w:tr>
        <w:tblPrEx>
          <w:tblCellMar>
            <w:top w:w="0" w:type="dxa"/>
            <w:left w:w="108" w:type="dxa"/>
            <w:bottom w:w="0" w:type="dxa"/>
            <w:right w:w="108" w:type="dxa"/>
          </w:tblCellMar>
        </w:tblPrEx>
        <w:trPr>
          <w:trHeight w:val="23" w:hRule="atLeast"/>
        </w:trPr>
        <w:tc>
          <w:tcPr>
            <w:tcW w:w="268" w:type="pct"/>
            <w:vMerge w:val="continue"/>
            <w:tcBorders>
              <w:left w:val="single" w:color="auto" w:sz="4" w:space="0"/>
              <w:bottom w:val="single" w:color="auto"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354"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社会效益（15分）</w:t>
            </w:r>
          </w:p>
        </w:tc>
        <w:tc>
          <w:tcPr>
            <w:tcW w:w="429"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道路服务水平</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提高</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考察项目实施后道路服务水平提升情况。</w:t>
            </w:r>
          </w:p>
        </w:tc>
        <w:tc>
          <w:tcPr>
            <w:tcW w:w="16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left"/>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项目实施提升了道路服务水平。</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达到目标值得满分，否则不得分。</w:t>
            </w:r>
          </w:p>
        </w:tc>
      </w:tr>
      <w:tr>
        <w:tblPrEx>
          <w:tblCellMar>
            <w:top w:w="0" w:type="dxa"/>
            <w:left w:w="108" w:type="dxa"/>
            <w:bottom w:w="0" w:type="dxa"/>
            <w:right w:w="108" w:type="dxa"/>
          </w:tblCellMar>
        </w:tblPrEx>
        <w:trPr>
          <w:trHeight w:val="23" w:hRule="atLeast"/>
        </w:trPr>
        <w:tc>
          <w:tcPr>
            <w:tcW w:w="142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合计</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100</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1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r>
    </w:tbl>
    <w:p>
      <w:pPr>
        <w:pStyle w:val="17"/>
        <w:ind w:left="640" w:firstLine="640"/>
        <w:rPr>
          <w:rFonts w:eastAsiaTheme="minorEastAsia"/>
          <w:color w:val="auto"/>
          <w:lang w:eastAsia="zh-Hans"/>
        </w:rPr>
        <w:sectPr>
          <w:pgSz w:w="16838" w:h="11906" w:orient="landscape"/>
          <w:pgMar w:top="1440" w:right="1418" w:bottom="1440" w:left="1797" w:header="851" w:footer="992" w:gutter="0"/>
          <w:cols w:space="0" w:num="1"/>
          <w:docGrid w:type="lines" w:linePitch="435" w:charSpace="0"/>
        </w:sectPr>
      </w:pPr>
    </w:p>
    <w:p>
      <w:pPr>
        <w:pStyle w:val="7"/>
        <w:numPr>
          <w:ilvl w:val="0"/>
          <w:numId w:val="2"/>
        </w:numPr>
        <w:outlineLvl w:val="1"/>
        <w:rPr>
          <w:rFonts w:hint="eastAsia" w:ascii="楷体_GB2312" w:hAnsi="楷体_GB2312" w:eastAsia="楷体_GB2312" w:cs="楷体_GB2312"/>
          <w:color w:val="auto"/>
        </w:rPr>
      </w:pPr>
      <w:bookmarkStart w:id="81" w:name="_Toc196493810"/>
      <w:bookmarkStart w:id="82" w:name="_Toc196493429"/>
      <w:r>
        <w:rPr>
          <w:rFonts w:hint="eastAsia" w:ascii="楷体_GB2312" w:hAnsi="楷体_GB2312" w:eastAsia="楷体_GB2312" w:cs="楷体_GB2312"/>
          <w:color w:val="auto"/>
        </w:rPr>
        <w:t>绩效评价工作过程</w:t>
      </w:r>
      <w:bookmarkEnd w:id="81"/>
      <w:bookmarkEnd w:id="82"/>
    </w:p>
    <w:p>
      <w:pPr>
        <w:ind w:firstLine="643"/>
        <w:outlineLvl w:val="2"/>
        <w:rPr>
          <w:rFonts w:hint="eastAsia" w:ascii="仿宋_GB2312" w:hAnsi="仿宋_GB2312" w:eastAsia="仿宋_GB2312" w:cs="仿宋_GB2312"/>
          <w:b/>
          <w:bCs/>
          <w:color w:val="auto"/>
        </w:rPr>
      </w:pPr>
      <w:bookmarkStart w:id="83" w:name="_Toc10661"/>
      <w:bookmarkStart w:id="84" w:name="_Toc196493811"/>
      <w:bookmarkStart w:id="85" w:name="_Toc15253"/>
      <w:bookmarkStart w:id="86" w:name="_Toc16846"/>
      <w:bookmarkStart w:id="87" w:name="_Toc3901"/>
      <w:bookmarkStart w:id="88" w:name="_Toc196493430"/>
      <w:bookmarkStart w:id="89" w:name="_Toc9354"/>
      <w:r>
        <w:rPr>
          <w:rFonts w:hint="eastAsia" w:ascii="仿宋_GB2312" w:hAnsi="仿宋_GB2312" w:eastAsia="仿宋_GB2312" w:cs="仿宋_GB2312"/>
          <w:b/>
          <w:bCs/>
          <w:color w:val="auto"/>
        </w:rPr>
        <w:t>1.前期准备阶段</w:t>
      </w:r>
      <w:bookmarkEnd w:id="83"/>
      <w:bookmarkEnd w:id="84"/>
      <w:bookmarkEnd w:id="85"/>
      <w:bookmarkEnd w:id="86"/>
      <w:bookmarkEnd w:id="87"/>
      <w:bookmarkEnd w:id="88"/>
      <w:bookmarkEnd w:id="89"/>
    </w:p>
    <w:p>
      <w:pPr>
        <w:rPr>
          <w:rFonts w:hint="eastAsia" w:ascii="仿宋_GB2312" w:hAnsi="仿宋_GB2312" w:eastAsia="仿宋_GB2312" w:cs="仿宋_GB2312"/>
          <w:color w:val="auto"/>
        </w:rPr>
      </w:pPr>
      <w:r>
        <w:rPr>
          <w:rFonts w:hint="eastAsia" w:ascii="仿宋_GB2312" w:hAnsi="仿宋_GB2312" w:eastAsia="仿宋_GB2312" w:cs="仿宋_GB2312"/>
          <w:color w:val="auto"/>
        </w:rPr>
        <w:t>评价准备阶段的主要任务包括：</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（1）确定评价对象。绩效评价对象由财政部门和部门（单位）根据绩效评价工作重点及预算管理要求确定，第三方评价机构根据财政部门和部门（单位）要求对特定对象进行绩效评价。</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（2）明确评价目的。评价目的决定了绩效评价的基本方向，只有解决了为什么要进行评价，才能使各评价活动朝着既定的方向迈进。</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3）选择评价方法。评价方法一般包括以指标体系为核心的综合评价法、以绩效分析为主的逻辑分析法，综合评价法形成得分判断结论，逻辑分析法则形成定性判断结论。根据不同绩效评价的目的选择合适的评价方法。</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4）撰写评价方案。绩效评价方案的内容包括：①项目概况，包括立项背景及目的、立项依据、预算资金安排、计划实施内容、项目组织及管理、利益相关方、项目绩效目标等内容；②针对评价目的和依据、对象和范围等，明确评价思路；③提出绩效评价指标体系设计思路；④确定评价的具体方法；⑤设计社会调查方案；⑥明确评价时间，规定工作进度的有关计划；⑦其他内容。</w:t>
      </w:r>
    </w:p>
    <w:p>
      <w:pPr>
        <w:ind w:firstLine="643"/>
        <w:outlineLvl w:val="2"/>
        <w:rPr>
          <w:rFonts w:hint="eastAsia" w:ascii="仿宋_GB2312" w:hAnsi="仿宋_GB2312" w:eastAsia="仿宋_GB2312" w:cs="仿宋_GB2312"/>
          <w:b/>
          <w:bCs/>
          <w:color w:val="auto"/>
        </w:rPr>
      </w:pPr>
      <w:bookmarkStart w:id="90" w:name="_Toc196493812"/>
      <w:bookmarkStart w:id="91" w:name="_Toc8640"/>
      <w:bookmarkStart w:id="92" w:name="_Toc31776"/>
      <w:bookmarkStart w:id="93" w:name="_Toc196493431"/>
      <w:bookmarkStart w:id="94" w:name="_Toc16724"/>
      <w:bookmarkStart w:id="95" w:name="_Toc16563"/>
      <w:bookmarkStart w:id="96" w:name="_Toc18591"/>
      <w:r>
        <w:rPr>
          <w:rFonts w:hint="eastAsia" w:ascii="仿宋_GB2312" w:hAnsi="仿宋_GB2312" w:eastAsia="仿宋_GB2312" w:cs="仿宋_GB2312"/>
          <w:b/>
          <w:bCs/>
          <w:color w:val="auto"/>
        </w:rPr>
        <w:t>2.组织实施阶段</w:t>
      </w:r>
      <w:bookmarkEnd w:id="90"/>
      <w:bookmarkEnd w:id="91"/>
      <w:bookmarkEnd w:id="92"/>
      <w:bookmarkEnd w:id="93"/>
      <w:bookmarkEnd w:id="94"/>
      <w:bookmarkEnd w:id="95"/>
      <w:bookmarkEnd w:id="96"/>
    </w:p>
    <w:p>
      <w:pPr>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rPr>
        <w:t>评价组与项目相关负责人进行沟通和访谈</w:t>
      </w: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对项目的相关资料进行收集和整理。具体数据采集方法和过程如下：</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（1）</w:t>
      </w:r>
      <w:r>
        <w:rPr>
          <w:rFonts w:hint="eastAsia" w:ascii="仿宋_GB2312" w:hAnsi="仿宋_GB2312" w:eastAsia="仿宋_GB2312" w:cs="仿宋_GB2312"/>
          <w:color w:val="auto"/>
        </w:rPr>
        <w:t>基础数据采集</w:t>
      </w: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在</w:t>
      </w:r>
      <w:r>
        <w:rPr>
          <w:rFonts w:hint="eastAsia" w:ascii="仿宋_GB2312" w:hAnsi="仿宋_GB2312" w:eastAsia="仿宋_GB2312" w:cs="仿宋_GB2312"/>
          <w:color w:val="auto"/>
          <w:lang w:eastAsia="zh-Hans"/>
        </w:rPr>
        <w:t>财政部门、预算部门</w:t>
      </w:r>
      <w:r>
        <w:rPr>
          <w:rFonts w:hint="eastAsia" w:ascii="仿宋_GB2312" w:hAnsi="仿宋_GB2312" w:eastAsia="仿宋_GB2312" w:cs="仿宋_GB2312"/>
          <w:color w:val="auto"/>
        </w:rPr>
        <w:t>的支持和配合下，评价组完成了基础数据的填报</w:t>
      </w:r>
      <w:r>
        <w:rPr>
          <w:rFonts w:hint="eastAsia" w:ascii="仿宋_GB2312" w:hAnsi="仿宋_GB2312" w:eastAsia="仿宋_GB2312" w:cs="仿宋_GB2312"/>
          <w:color w:val="auto"/>
          <w:lang w:eastAsia="zh-Hans"/>
        </w:rPr>
        <w:t>、收集工作</w:t>
      </w:r>
      <w:r>
        <w:rPr>
          <w:rFonts w:hint="eastAsia" w:ascii="仿宋_GB2312" w:hAnsi="仿宋_GB2312" w:eastAsia="仿宋_GB2312" w:cs="仿宋_GB2312"/>
          <w:color w:val="auto"/>
        </w:rPr>
        <w:t>。</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（2）</w:t>
      </w:r>
      <w:r>
        <w:rPr>
          <w:rFonts w:hint="eastAsia" w:ascii="仿宋_GB2312" w:hAnsi="仿宋_GB2312" w:eastAsia="仿宋_GB2312" w:cs="仿宋_GB2312"/>
          <w:color w:val="auto"/>
        </w:rPr>
        <w:t>数据检查复核</w:t>
      </w:r>
      <w:r>
        <w:rPr>
          <w:rFonts w:hint="eastAsia" w:ascii="仿宋_GB2312" w:hAnsi="仿宋_GB2312" w:eastAsia="仿宋_GB2312" w:cs="仿宋_GB2312"/>
          <w:color w:val="auto"/>
          <w:lang w:eastAsia="zh-Hans"/>
        </w:rPr>
        <w:t>。对项目</w:t>
      </w:r>
      <w:r>
        <w:rPr>
          <w:rFonts w:hint="eastAsia" w:ascii="仿宋_GB2312" w:hAnsi="仿宋_GB2312" w:eastAsia="仿宋_GB2312" w:cs="仿宋_GB2312"/>
          <w:color w:val="auto"/>
        </w:rPr>
        <w:t>资金的实际使用情况进行了检查，并对项目相关文件、合同、支付凭证等进行了核对检查，以测算项目各环节的实际成本。</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（3）</w:t>
      </w:r>
      <w:r>
        <w:rPr>
          <w:rFonts w:hint="eastAsia" w:ascii="仿宋_GB2312" w:hAnsi="仿宋_GB2312" w:eastAsia="仿宋_GB2312" w:cs="仿宋_GB2312"/>
          <w:color w:val="auto"/>
        </w:rPr>
        <w:t>访谈调研</w:t>
      </w: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评价组对项目相关负责人进行了访谈，针对项目管理情况、运营情况、资金投入及成本控制以及存在的问题及改进建议等问题进行了详细了解。</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（4）</w:t>
      </w:r>
      <w:r>
        <w:rPr>
          <w:rFonts w:hint="eastAsia" w:ascii="仿宋_GB2312" w:hAnsi="仿宋_GB2312" w:eastAsia="仿宋_GB2312" w:cs="仿宋_GB2312"/>
          <w:color w:val="auto"/>
        </w:rPr>
        <w:t>问卷调研</w:t>
      </w: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在</w:t>
      </w:r>
      <w:r>
        <w:rPr>
          <w:rFonts w:hint="eastAsia" w:ascii="仿宋_GB2312" w:hAnsi="仿宋_GB2312" w:eastAsia="仿宋_GB2312" w:cs="仿宋_GB2312"/>
          <w:color w:val="auto"/>
          <w:lang w:eastAsia="zh-Hans"/>
        </w:rPr>
        <w:t>预算单位</w:t>
      </w:r>
      <w:r>
        <w:rPr>
          <w:rFonts w:hint="eastAsia" w:ascii="仿宋_GB2312" w:hAnsi="仿宋_GB2312" w:eastAsia="仿宋_GB2312" w:cs="仿宋_GB2312"/>
          <w:color w:val="auto"/>
        </w:rPr>
        <w:t>的协调下，评价组通过随机抽样的方式对相关人员开展问卷调研。</w:t>
      </w:r>
    </w:p>
    <w:p>
      <w:pPr>
        <w:ind w:firstLine="643"/>
        <w:outlineLvl w:val="2"/>
        <w:rPr>
          <w:rFonts w:hint="eastAsia" w:ascii="仿宋_GB2312" w:hAnsi="仿宋_GB2312" w:eastAsia="仿宋_GB2312" w:cs="仿宋_GB2312"/>
          <w:b/>
          <w:bCs/>
          <w:color w:val="auto"/>
        </w:rPr>
      </w:pPr>
      <w:bookmarkStart w:id="97" w:name="_Toc11573"/>
      <w:bookmarkStart w:id="98" w:name="_Toc54107606"/>
      <w:bookmarkStart w:id="99" w:name="_Toc21520"/>
      <w:bookmarkStart w:id="100" w:name="_Toc25597"/>
      <w:bookmarkStart w:id="101" w:name="_Toc196493432"/>
      <w:bookmarkStart w:id="102" w:name="_Toc196493813"/>
      <w:bookmarkStart w:id="103" w:name="_Toc13378"/>
      <w:bookmarkStart w:id="104" w:name="_Toc16136"/>
      <w:bookmarkStart w:id="105" w:name="_Toc25238"/>
      <w:r>
        <w:rPr>
          <w:rFonts w:hint="eastAsia" w:ascii="仿宋_GB2312" w:hAnsi="仿宋_GB2312" w:eastAsia="仿宋_GB2312" w:cs="仿宋_GB2312"/>
          <w:b/>
          <w:bCs/>
          <w:color w:val="auto"/>
        </w:rPr>
        <w:t>3.</w:t>
      </w:r>
      <w:bookmarkEnd w:id="97"/>
      <w:bookmarkEnd w:id="98"/>
      <w:r>
        <w:rPr>
          <w:rFonts w:hint="eastAsia" w:ascii="仿宋_GB2312" w:hAnsi="仿宋_GB2312" w:eastAsia="仿宋_GB2312" w:cs="仿宋_GB2312"/>
          <w:b/>
          <w:bCs/>
          <w:color w:val="auto"/>
          <w:lang w:eastAsia="zh-Hans"/>
        </w:rPr>
        <w:t>评价分析阶段</w:t>
      </w:r>
      <w:bookmarkEnd w:id="99"/>
      <w:bookmarkEnd w:id="100"/>
      <w:bookmarkEnd w:id="101"/>
      <w:bookmarkEnd w:id="102"/>
      <w:bookmarkEnd w:id="103"/>
      <w:bookmarkEnd w:id="104"/>
      <w:bookmarkEnd w:id="105"/>
    </w:p>
    <w:p>
      <w:pPr>
        <w:rPr>
          <w:rFonts w:hint="eastAsia" w:ascii="仿宋_GB2312" w:hAnsi="仿宋_GB2312" w:eastAsia="仿宋_GB2312" w:cs="仿宋_GB2312"/>
          <w:color w:val="auto"/>
        </w:rPr>
      </w:pPr>
      <w:r>
        <w:rPr>
          <w:rFonts w:hint="eastAsia" w:ascii="仿宋_GB2312" w:hAnsi="仿宋_GB2312" w:eastAsia="仿宋_GB2312" w:cs="仿宋_GB2312"/>
          <w:color w:val="auto"/>
        </w:rPr>
        <w:t>评价组根据绩效评价的原则和规范，对项目实地调研过程中获取的数据和信息进行归纳、总结和分析，结合绩效评价指标体系对项目进行评分，并在此基础上提炼结论撰写绩效评价报告，上报委托单位。具体实施过程如下：</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（1）</w:t>
      </w:r>
      <w:r>
        <w:rPr>
          <w:rFonts w:hint="eastAsia" w:ascii="仿宋_GB2312" w:hAnsi="仿宋_GB2312" w:eastAsia="仿宋_GB2312" w:cs="仿宋_GB2312"/>
          <w:color w:val="auto"/>
        </w:rPr>
        <w:t>基础数据整理和分析</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评价组根据</w:t>
      </w:r>
      <w:r>
        <w:rPr>
          <w:rFonts w:hint="eastAsia" w:ascii="仿宋_GB2312" w:hAnsi="仿宋_GB2312" w:eastAsia="仿宋_GB2312" w:cs="仿宋_GB2312"/>
          <w:color w:val="auto"/>
          <w:lang w:eastAsia="zh-Hans"/>
        </w:rPr>
        <w:t>收集到的</w:t>
      </w:r>
      <w:r>
        <w:rPr>
          <w:rFonts w:hint="eastAsia" w:ascii="仿宋_GB2312" w:hAnsi="仿宋_GB2312" w:eastAsia="仿宋_GB2312" w:cs="仿宋_GB2312"/>
          <w:color w:val="auto"/>
        </w:rPr>
        <w:t>基础数据，对项目资金安排执行情况、项目产出目标实现情况、政府采购执行情况等数据进行整理和分析。同时，对调研过程中获得的相关材料进行归纳和总结，用以辅助指标打分和绩效评价报告的撰写。</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（2）</w:t>
      </w:r>
      <w:r>
        <w:rPr>
          <w:rFonts w:hint="eastAsia" w:ascii="仿宋_GB2312" w:hAnsi="仿宋_GB2312" w:eastAsia="仿宋_GB2312" w:cs="仿宋_GB2312"/>
          <w:color w:val="auto"/>
        </w:rPr>
        <w:t>指标评分</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评价组根据收集和整理的基础数据，对比工作方案中制定的绩效评价指标体系，根据评分标准对各项指标进行打分，并制定综合评分表和评价底稿，对指标体系中的得分和扣分情况进行说明。</w:t>
      </w:r>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3</w:t>
      </w:r>
      <w:r>
        <w:rPr>
          <w:rFonts w:hint="eastAsia" w:ascii="仿宋_GB2312" w:hAnsi="仿宋_GB2312" w:eastAsia="仿宋_GB2312" w:cs="仿宋_GB2312"/>
          <w:color w:val="auto"/>
          <w:lang w:eastAsia="zh-Hans"/>
        </w:rPr>
        <w:t>）</w:t>
      </w:r>
      <w:r>
        <w:rPr>
          <w:rFonts w:hint="eastAsia" w:ascii="仿宋_GB2312" w:hAnsi="仿宋_GB2312" w:eastAsia="仿宋_GB2312" w:cs="仿宋_GB2312"/>
          <w:color w:val="auto"/>
        </w:rPr>
        <w:t>撰写绩效评价报告</w:t>
      </w:r>
    </w:p>
    <w:p>
      <w:pPr>
        <w:rPr>
          <w:rFonts w:eastAsiaTheme="minorEastAsia"/>
          <w:color w:val="auto"/>
        </w:rPr>
      </w:pPr>
      <w:r>
        <w:rPr>
          <w:rFonts w:hint="eastAsia" w:ascii="仿宋_GB2312" w:hAnsi="仿宋_GB2312" w:eastAsia="仿宋_GB2312" w:cs="仿宋_GB2312"/>
          <w:color w:val="auto"/>
        </w:rPr>
        <w:t>综合基础数据和综合评分表，结合现场核查情况，依据评价指标体系进行打分，分析得失分原因，完成绩效评价报告的撰写。</w:t>
      </w:r>
      <w:bookmarkStart w:id="106" w:name="_Toc374101376"/>
      <w:bookmarkEnd w:id="106"/>
      <w:bookmarkStart w:id="107" w:name="_Toc14373"/>
      <w:bookmarkEnd w:id="107"/>
      <w:bookmarkStart w:id="108" w:name="_Toc419452332"/>
      <w:bookmarkEnd w:id="108"/>
      <w:bookmarkStart w:id="109" w:name="_Toc395253808"/>
      <w:bookmarkEnd w:id="109"/>
      <w:bookmarkStart w:id="110" w:name="_Toc454544367"/>
      <w:bookmarkEnd w:id="110"/>
      <w:bookmarkStart w:id="111" w:name="_Toc448478649"/>
      <w:bookmarkEnd w:id="111"/>
    </w:p>
    <w:p>
      <w:pPr>
        <w:pStyle w:val="7"/>
        <w:ind w:firstLine="643"/>
        <w:outlineLvl w:val="0"/>
        <w:rPr>
          <w:rFonts w:hint="eastAsia" w:ascii="黑体" w:hAnsi="黑体" w:eastAsia="黑体" w:cs="黑体"/>
          <w:b w:val="0"/>
          <w:bCs/>
          <w:color w:val="auto"/>
        </w:rPr>
      </w:pPr>
      <w:bookmarkStart w:id="112" w:name="_Toc196493814"/>
      <w:r>
        <w:rPr>
          <w:rFonts w:hint="eastAsia" w:ascii="黑体" w:hAnsi="黑体" w:eastAsia="黑体" w:cs="黑体"/>
          <w:b w:val="0"/>
          <w:bCs/>
          <w:color w:val="auto"/>
        </w:rPr>
        <w:t>三、综合评价情况及评价结论（附相关评分表）</w:t>
      </w:r>
      <w:bookmarkEnd w:id="112"/>
    </w:p>
    <w:p>
      <w:pPr>
        <w:rPr>
          <w:rFonts w:hint="eastAsia" w:ascii="仿宋_GB2312" w:hAnsi="仿宋_GB2312" w:eastAsia="仿宋_GB2312" w:cs="仿宋_GB2312"/>
          <w:color w:val="auto"/>
        </w:rPr>
      </w:pPr>
      <w:r>
        <w:rPr>
          <w:rFonts w:hint="eastAsia" w:ascii="仿宋_GB2312" w:hAnsi="仿宋_GB2312" w:eastAsia="仿宋_GB2312" w:cs="仿宋_GB2312"/>
          <w:color w:val="auto"/>
          <w:lang w:eastAsia="zh-Hans"/>
        </w:rPr>
        <w:t>评价组</w:t>
      </w:r>
      <w:r>
        <w:rPr>
          <w:rFonts w:hint="eastAsia" w:ascii="仿宋_GB2312" w:hAnsi="仿宋_GB2312" w:eastAsia="仿宋_GB2312" w:cs="仿宋_GB2312"/>
          <w:color w:val="auto"/>
        </w:rPr>
        <w:t>坚持评估资料的真实性、全面性、多样性和具体分析的客观性、可比性、科学性等原则，</w:t>
      </w:r>
      <w:r>
        <w:rPr>
          <w:rFonts w:hint="eastAsia" w:ascii="仿宋_GB2312" w:hAnsi="仿宋_GB2312" w:eastAsia="仿宋_GB2312" w:cs="仿宋_GB2312"/>
          <w:color w:val="auto"/>
          <w:lang w:eastAsia="zh-Hans"/>
        </w:rPr>
        <w:t>并</w:t>
      </w:r>
      <w:r>
        <w:rPr>
          <w:rFonts w:hint="eastAsia" w:ascii="仿宋_GB2312" w:hAnsi="仿宋_GB2312" w:eastAsia="仿宋_GB2312" w:cs="仿宋_GB2312"/>
          <w:color w:val="auto"/>
        </w:rPr>
        <w:t>运用比较法、成本效益分析法、统计抽样分析法等具体方法</w:t>
      </w:r>
      <w:r>
        <w:rPr>
          <w:rFonts w:hint="eastAsia" w:ascii="仿宋_GB2312" w:hAnsi="仿宋_GB2312" w:eastAsia="仿宋_GB2312" w:cs="仿宋_GB2312"/>
          <w:color w:val="auto"/>
          <w:lang w:eastAsia="zh-Hans"/>
        </w:rPr>
        <w:t>，结合现场核查、访谈、问卷等调研情况，对项目进行了综合评价，尽可能</w:t>
      </w:r>
      <w:r>
        <w:rPr>
          <w:rFonts w:hint="eastAsia" w:ascii="仿宋_GB2312" w:hAnsi="仿宋_GB2312" w:eastAsia="仿宋_GB2312" w:cs="仿宋_GB2312"/>
          <w:color w:val="auto"/>
        </w:rPr>
        <w:t>客观、公正、真实、准确地反映出财政支出的实际效果</w:t>
      </w:r>
      <w:r>
        <w:rPr>
          <w:rFonts w:hint="eastAsia" w:ascii="仿宋_GB2312" w:hAnsi="仿宋_GB2312" w:eastAsia="仿宋_GB2312" w:cs="仿宋_GB2312"/>
          <w:color w:val="auto"/>
          <w:lang w:eastAsia="zh-Hans"/>
        </w:rPr>
        <w:t>。初步结论如下：</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项目资金财政支出综合得分为99分，绩效级别评定为“优”。</w:t>
      </w:r>
    </w:p>
    <w:p>
      <w:pPr>
        <w:pStyle w:val="17"/>
        <w:ind w:left="0" w:leftChars="0" w:firstLine="0" w:firstLineChars="0"/>
        <w:jc w:val="center"/>
        <w:rPr>
          <w:rFonts w:hint="eastAsia" w:ascii="仿宋_GB2312" w:hAnsi="仿宋_GB2312" w:eastAsia="仿宋_GB2312" w:cs="仿宋_GB2312"/>
          <w:b/>
          <w:bCs/>
          <w:color w:val="auto"/>
          <w:sz w:val="28"/>
          <w:szCs w:val="22"/>
          <w:lang w:eastAsia="zh-Hans"/>
        </w:rPr>
      </w:pPr>
      <w:r>
        <w:rPr>
          <w:rFonts w:hint="eastAsia" w:ascii="仿宋_GB2312" w:hAnsi="仿宋_GB2312" w:eastAsia="仿宋_GB2312" w:cs="仿宋_GB2312"/>
          <w:b/>
          <w:bCs/>
          <w:color w:val="auto"/>
          <w:sz w:val="28"/>
          <w:szCs w:val="22"/>
          <w:lang w:eastAsia="zh-Hans"/>
        </w:rPr>
        <w:t>综合评分表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9"/>
        <w:gridCol w:w="2113"/>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517" w:type="pct"/>
            <w:tcBorders>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评价指标</w:t>
            </w:r>
          </w:p>
        </w:tc>
        <w:tc>
          <w:tcPr>
            <w:tcW w:w="1240" w:type="pct"/>
            <w:tcBorders>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分值</w:t>
            </w:r>
          </w:p>
        </w:tc>
        <w:tc>
          <w:tcPr>
            <w:tcW w:w="1242" w:type="pct"/>
            <w:tcBorders>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17" w:type="pct"/>
            <w:tcBorders>
              <w:top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决策</w:t>
            </w:r>
          </w:p>
        </w:tc>
        <w:tc>
          <w:tcPr>
            <w:tcW w:w="1240" w:type="pct"/>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16</w:t>
            </w:r>
          </w:p>
        </w:tc>
        <w:tc>
          <w:tcPr>
            <w:tcW w:w="1242" w:type="pct"/>
            <w:tcBorders>
              <w:top w:val="single" w:color="auto" w:sz="4" w:space="0"/>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517" w:type="pct"/>
            <w:tcBorders>
              <w:top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过程</w:t>
            </w:r>
          </w:p>
        </w:tc>
        <w:tc>
          <w:tcPr>
            <w:tcW w:w="1240" w:type="pct"/>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24</w:t>
            </w:r>
          </w:p>
        </w:tc>
        <w:tc>
          <w:tcPr>
            <w:tcW w:w="1242" w:type="pct"/>
            <w:tcBorders>
              <w:top w:val="single" w:color="auto" w:sz="4" w:space="0"/>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产出</w:t>
            </w:r>
          </w:p>
        </w:tc>
        <w:tc>
          <w:tcPr>
            <w:tcW w:w="1240" w:type="pct"/>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c>
          <w:tcPr>
            <w:tcW w:w="1242" w:type="pct"/>
            <w:tcBorders>
              <w:top w:val="single" w:color="auto" w:sz="4" w:space="0"/>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效益</w:t>
            </w:r>
          </w:p>
        </w:tc>
        <w:tc>
          <w:tcPr>
            <w:tcW w:w="1240" w:type="pct"/>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c>
          <w:tcPr>
            <w:tcW w:w="1242" w:type="pct"/>
            <w:tcBorders>
              <w:top w:val="single" w:color="auto" w:sz="4" w:space="0"/>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7" w:type="pct"/>
            <w:tcBorders>
              <w:top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综合绩效</w:t>
            </w:r>
          </w:p>
        </w:tc>
        <w:tc>
          <w:tcPr>
            <w:tcW w:w="1240" w:type="pct"/>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c>
          <w:tcPr>
            <w:tcW w:w="1242" w:type="pct"/>
            <w:tcBorders>
              <w:top w:val="single" w:color="auto" w:sz="4" w:space="0"/>
              <w:left w:val="single" w:color="auto" w:sz="4" w:space="0"/>
              <w:bottom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7" w:type="pct"/>
            <w:tcBorders>
              <w:top w:val="single" w:color="auto" w:sz="4" w:space="0"/>
              <w:right w:val="single" w:color="auto" w:sz="4" w:space="0"/>
            </w:tcBorders>
            <w:vAlign w:val="center"/>
          </w:tcPr>
          <w:p>
            <w:pPr>
              <w:ind w:firstLine="0" w:firstLineChars="0"/>
              <w:jc w:val="center"/>
              <w:rPr>
                <w:rFonts w:hint="eastAsia" w:ascii="仿宋_GB2312" w:hAnsi="仿宋_GB2312" w:eastAsia="仿宋_GB2312" w:cs="仿宋_GB2312"/>
                <w:color w:val="auto"/>
                <w:sz w:val="24"/>
                <w:lang w:eastAsia="zh-Hans"/>
              </w:rPr>
            </w:pPr>
            <w:r>
              <w:rPr>
                <w:rFonts w:hint="eastAsia" w:ascii="仿宋_GB2312" w:hAnsi="仿宋_GB2312" w:eastAsia="仿宋_GB2312" w:cs="仿宋_GB2312"/>
                <w:color w:val="auto"/>
                <w:sz w:val="24"/>
                <w:lang w:eastAsia="zh-Hans"/>
              </w:rPr>
              <w:t>绩效等级</w:t>
            </w:r>
          </w:p>
        </w:tc>
        <w:tc>
          <w:tcPr>
            <w:tcW w:w="2482" w:type="pct"/>
            <w:gridSpan w:val="2"/>
            <w:tcBorders>
              <w:top w:val="single" w:color="auto" w:sz="4" w:space="0"/>
              <w:left w:val="single" w:color="auto" w:sz="4" w:space="0"/>
            </w:tcBorders>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优</w:t>
            </w:r>
          </w:p>
        </w:tc>
      </w:tr>
    </w:tbl>
    <w:p>
      <w:pPr>
        <w:pStyle w:val="7"/>
        <w:ind w:firstLine="643"/>
        <w:outlineLvl w:val="0"/>
        <w:rPr>
          <w:rFonts w:ascii="Times New Roman" w:hAnsi="Times New Roman" w:cs="Times New Roman" w:eastAsiaTheme="minorEastAsia"/>
          <w:b/>
          <w:color w:val="auto"/>
        </w:rPr>
      </w:pPr>
      <w:bookmarkStart w:id="113" w:name="_Toc196493815"/>
      <w:r>
        <w:rPr>
          <w:rFonts w:hint="eastAsia" w:ascii="黑体" w:hAnsi="黑体" w:eastAsia="黑体" w:cs="黑体"/>
          <w:b w:val="0"/>
          <w:bCs/>
          <w:color w:val="auto"/>
        </w:rPr>
        <w:t>四、绩效评价指标分析</w:t>
      </w:r>
      <w:bookmarkEnd w:id="113"/>
    </w:p>
    <w:p>
      <w:pPr>
        <w:pStyle w:val="7"/>
        <w:outlineLvl w:val="1"/>
        <w:rPr>
          <w:rFonts w:ascii="Times New Roman" w:hAnsi="Times New Roman" w:cs="Times New Roman" w:eastAsiaTheme="minorEastAsia"/>
          <w:color w:val="auto"/>
        </w:rPr>
      </w:pPr>
      <w:bookmarkStart w:id="114" w:name="_Toc196493816"/>
      <w:bookmarkStart w:id="115" w:name="_Toc196493434"/>
      <w:r>
        <w:rPr>
          <w:rFonts w:hint="eastAsia" w:ascii="楷体_GB2312" w:hAnsi="楷体_GB2312" w:eastAsia="楷体_GB2312" w:cs="楷体_GB2312"/>
          <w:color w:val="auto"/>
        </w:rPr>
        <w:t>（一）项目决策情况</w:t>
      </w:r>
      <w:bookmarkEnd w:id="114"/>
      <w:bookmarkEnd w:id="115"/>
    </w:p>
    <w:p>
      <w:pPr>
        <w:rPr>
          <w:rFonts w:hint="eastAsia" w:ascii="仿宋_GB2312" w:hAnsi="仿宋_GB2312" w:eastAsia="仿宋_GB2312" w:cs="仿宋_GB2312"/>
          <w:color w:val="auto"/>
        </w:rPr>
      </w:pPr>
      <w:r>
        <w:rPr>
          <w:rFonts w:hint="eastAsia" w:ascii="仿宋_GB2312" w:hAnsi="仿宋_GB2312" w:eastAsia="仿宋_GB2312" w:cs="仿宋_GB2312"/>
          <w:color w:val="auto"/>
        </w:rPr>
        <w:t>项目决策指标从项目立项、绩效目标和资金投入三个方面对项目进行考察，项目决策类指标分值共计16分，本项目实际得分为15分，得分率为93.75%。各个指标的实际得分情况见下表：</w:t>
      </w:r>
    </w:p>
    <w:p>
      <w:pPr>
        <w:pStyle w:val="26"/>
        <w:ind w:firstLine="482"/>
        <w:rPr>
          <w:rFonts w:hint="eastAsia" w:ascii="仿宋_GB2312" w:hAnsi="仿宋_GB2312" w:eastAsia="仿宋_GB2312" w:cs="仿宋_GB2312"/>
          <w:color w:val="auto"/>
        </w:rPr>
      </w:pPr>
      <w:r>
        <w:rPr>
          <w:rFonts w:hint="eastAsia" w:ascii="仿宋_GB2312" w:hAnsi="仿宋_GB2312" w:eastAsia="仿宋_GB2312" w:cs="仿宋_GB2312"/>
          <w:color w:val="auto"/>
        </w:rPr>
        <w:t>项目决策类指标得分情况表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7"/>
        <w:gridCol w:w="1694"/>
        <w:gridCol w:w="1694"/>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2017"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评价指标</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分值</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立项依据充分性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立项程序规范性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绩效目标合理性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绩效指标明确性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预算编制科学性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资金分配合理性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小计</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16</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15.00</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93.75%</w:t>
            </w:r>
          </w:p>
        </w:tc>
      </w:tr>
    </w:tbl>
    <w:p>
      <w:pPr>
        <w:ind w:firstLine="643"/>
        <w:outlineLvl w:val="2"/>
        <w:rPr>
          <w:rFonts w:hint="eastAsia" w:ascii="仿宋_GB2312" w:hAnsi="仿宋_GB2312" w:eastAsia="仿宋_GB2312" w:cs="仿宋_GB2312"/>
          <w:b/>
          <w:bCs/>
          <w:color w:val="auto"/>
        </w:rPr>
      </w:pPr>
      <w:bookmarkStart w:id="116" w:name="_Toc196493817"/>
      <w:bookmarkStart w:id="117" w:name="_Toc10622"/>
      <w:bookmarkStart w:id="118" w:name="_Toc14520"/>
      <w:bookmarkStart w:id="119" w:name="_Toc31510"/>
      <w:bookmarkStart w:id="120" w:name="_Toc196493435"/>
      <w:bookmarkStart w:id="121" w:name="_Toc15116"/>
      <w:bookmarkStart w:id="122" w:name="_Toc13472"/>
      <w:r>
        <w:rPr>
          <w:rFonts w:hint="eastAsia" w:ascii="仿宋_GB2312" w:hAnsi="仿宋_GB2312" w:eastAsia="仿宋_GB2312" w:cs="仿宋_GB2312"/>
          <w:b/>
          <w:bCs/>
          <w:color w:val="auto"/>
        </w:rPr>
        <w:t>4.1.1立项依据充分性</w:t>
      </w:r>
      <w:bookmarkEnd w:id="116"/>
      <w:bookmarkEnd w:id="117"/>
      <w:bookmarkEnd w:id="118"/>
      <w:bookmarkEnd w:id="119"/>
      <w:bookmarkEnd w:id="120"/>
      <w:bookmarkEnd w:id="121"/>
      <w:bookmarkEnd w:id="122"/>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项目立项是否符合法律法规、相关政策、发展规划以及部门职责，用以反映和考核项目立项依据情况。</w:t>
      </w:r>
    </w:p>
    <w:p>
      <w:pPr>
        <w:pStyle w:val="17"/>
        <w:ind w:left="0" w:leftChars="0"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p>
      <w:pPr>
        <w:pStyle w:val="17"/>
        <w:ind w:left="0" w:leftChars="0"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满足一项得20%权重分。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海南省为提高高速公路服务水平，改善交通条件，促进海南旅游业发展，对海南环岛东线海口至三亚高速公路项目、海口至文昌高速公路改建等项目进行建设。海南省交通投资控股有限公司向进出口银行、国家开发银行等金融机构贷款，以确保项目建设用款需求，顺利推进道路建设项目。2024年高速公路偿债项目为延续性项目，项目起始时间为2021年。根据《海南省交通运输厅关于批复2024年交通运输部门预算的通知》（琼交财〔2024〕68号），2024年年初海南省交通运输厅批复2024年高速公路建设偿债资金预算。项目立项符合法律法规、相关政策、发展规划以及部门职责，项目立项依据充分，该指标得满分。</w:t>
      </w:r>
    </w:p>
    <w:p>
      <w:pPr>
        <w:ind w:firstLine="643"/>
        <w:outlineLvl w:val="2"/>
        <w:rPr>
          <w:rFonts w:hint="eastAsia" w:ascii="仿宋_GB2312" w:hAnsi="仿宋_GB2312" w:eastAsia="仿宋_GB2312" w:cs="仿宋_GB2312"/>
          <w:b/>
          <w:bCs/>
          <w:color w:val="auto"/>
        </w:rPr>
      </w:pPr>
      <w:bookmarkStart w:id="123" w:name="_Toc12831"/>
      <w:bookmarkStart w:id="124" w:name="_Toc196493436"/>
      <w:bookmarkStart w:id="125" w:name="_Toc21119"/>
      <w:bookmarkStart w:id="126" w:name="_Toc18035"/>
      <w:bookmarkStart w:id="127" w:name="_Toc8344"/>
      <w:bookmarkStart w:id="128" w:name="_Toc196493818"/>
      <w:bookmarkStart w:id="129" w:name="_Toc6054"/>
      <w:r>
        <w:rPr>
          <w:rFonts w:hint="eastAsia" w:ascii="仿宋_GB2312" w:hAnsi="仿宋_GB2312" w:eastAsia="仿宋_GB2312" w:cs="仿宋_GB2312"/>
          <w:b/>
          <w:bCs/>
          <w:color w:val="auto"/>
        </w:rPr>
        <w:t>4.1.2立项程序规范性</w:t>
      </w:r>
      <w:bookmarkEnd w:id="123"/>
      <w:bookmarkEnd w:id="124"/>
      <w:bookmarkEnd w:id="125"/>
      <w:bookmarkEnd w:id="126"/>
      <w:bookmarkEnd w:id="127"/>
      <w:bookmarkEnd w:id="128"/>
      <w:bookmarkEnd w:id="129"/>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项目申请、设立过程是否符合相关要求，用以反映和考核项目立项的规范情况。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①项目是否按照规定的程序申请设立；②审批文件、材料是否符合相关要求；③事前是否已经过必要的可行性研究、专家论证、风险评估、绩效评估、集体决策。</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满足一项得1/3权重分。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2024年高速公路偿债项目为延续性项目，项目起始时间为2021年，根据</w:t>
      </w:r>
      <w:bookmarkStart w:id="130" w:name="OLE_LINK7"/>
      <w:r>
        <w:rPr>
          <w:rFonts w:hint="eastAsia" w:ascii="仿宋_GB2312" w:hAnsi="仿宋_GB2312" w:eastAsia="仿宋_GB2312" w:cs="仿宋_GB2312"/>
          <w:color w:val="auto"/>
        </w:rPr>
        <w:t>《海南省交通运输厅关于批复2024年交通运输部门预算的通知》（琼交财〔2024〕68号）</w:t>
      </w:r>
      <w:bookmarkEnd w:id="130"/>
      <w:r>
        <w:rPr>
          <w:rFonts w:hint="eastAsia" w:ascii="仿宋_GB2312" w:hAnsi="仿宋_GB2312" w:eastAsia="仿宋_GB2312" w:cs="仿宋_GB2312"/>
          <w:color w:val="auto"/>
        </w:rPr>
        <w:t>，项目得到批复。按规定程序进行预算申报，项目立项程序规范，该指标得满分。</w:t>
      </w:r>
    </w:p>
    <w:p>
      <w:pPr>
        <w:ind w:firstLine="643"/>
        <w:outlineLvl w:val="2"/>
        <w:rPr>
          <w:rFonts w:hint="eastAsia" w:ascii="仿宋_GB2312" w:hAnsi="仿宋_GB2312" w:eastAsia="仿宋_GB2312" w:cs="仿宋_GB2312"/>
          <w:b/>
          <w:bCs/>
          <w:color w:val="auto"/>
        </w:rPr>
      </w:pPr>
      <w:bookmarkStart w:id="131" w:name="_Toc3707"/>
      <w:bookmarkStart w:id="132" w:name="_Toc196493819"/>
      <w:bookmarkStart w:id="133" w:name="_Toc196493437"/>
      <w:bookmarkStart w:id="134" w:name="_Toc6333"/>
      <w:bookmarkStart w:id="135" w:name="_Toc9555"/>
      <w:bookmarkStart w:id="136" w:name="_Toc24257"/>
      <w:bookmarkStart w:id="137" w:name="_Toc30803"/>
      <w:r>
        <w:rPr>
          <w:rFonts w:hint="eastAsia" w:ascii="仿宋_GB2312" w:hAnsi="仿宋_GB2312" w:eastAsia="仿宋_GB2312" w:cs="仿宋_GB2312"/>
          <w:b/>
          <w:bCs/>
          <w:color w:val="auto"/>
        </w:rPr>
        <w:t>4.1.3绩效目标合理性</w:t>
      </w:r>
      <w:bookmarkEnd w:id="131"/>
      <w:bookmarkEnd w:id="132"/>
      <w:bookmarkEnd w:id="133"/>
      <w:bookmarkEnd w:id="134"/>
      <w:bookmarkEnd w:id="135"/>
      <w:bookmarkEnd w:id="136"/>
      <w:bookmarkEnd w:id="137"/>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项目所设定的绩效目标是否依据充分，是否符合客观实际，用以反映和考核项目绩效目标与项目实施的相符情况。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满足一项得25%权重分。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根据项目绩效目标申报表，2024年高速公路建设偿债项目年度绩效目标为：降低交通系统负债率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通过贷款保障公路项目建设资金，提高道路服务水平情况。绩效目标与实际工作内容相关，但项目绩效目标不够具体，不能体现出预期的产出水平、从绩效目标中不能确定与预算确定的项目投资额或资金量相匹配。该指标扣50%权重分。</w:t>
      </w:r>
    </w:p>
    <w:p>
      <w:pPr>
        <w:ind w:firstLine="643"/>
        <w:outlineLvl w:val="2"/>
        <w:rPr>
          <w:rFonts w:hint="eastAsia" w:ascii="仿宋_GB2312" w:hAnsi="仿宋_GB2312" w:eastAsia="仿宋_GB2312" w:cs="仿宋_GB2312"/>
          <w:b/>
          <w:bCs/>
          <w:color w:val="auto"/>
        </w:rPr>
      </w:pPr>
      <w:bookmarkStart w:id="138" w:name="_Toc196493438"/>
      <w:bookmarkStart w:id="139" w:name="_Toc196493820"/>
      <w:r>
        <w:rPr>
          <w:rFonts w:hint="eastAsia" w:ascii="仿宋_GB2312" w:hAnsi="仿宋_GB2312" w:eastAsia="仿宋_GB2312" w:cs="仿宋_GB2312"/>
          <w:b/>
          <w:bCs/>
          <w:color w:val="auto"/>
        </w:rPr>
        <w:t>4.1.4绩效指标明确性</w:t>
      </w:r>
      <w:bookmarkEnd w:id="138"/>
      <w:bookmarkEnd w:id="139"/>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依据绩效目标设定的绩效指标是否清晰、细化、可衡量等，用以反映和考核项目绩效目标的明细化情况。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①是否将项目绩效目标细化分解为具体的绩效指标；②是否通过清晰、可衡量的指标值予以体现；③是否与项目目标任务数或计划数相对应。</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满足一项得1/3权重分。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根据项目绩效目标申报表,部门已将高速公路建设偿债项目绩效目标分解为具体的绩效指标，指标清晰、细化、可衡量。该指标得满分。</w:t>
      </w:r>
    </w:p>
    <w:p>
      <w:pPr>
        <w:ind w:firstLine="643"/>
        <w:outlineLvl w:val="2"/>
        <w:rPr>
          <w:rFonts w:hint="eastAsia" w:ascii="仿宋_GB2312" w:hAnsi="仿宋_GB2312" w:eastAsia="仿宋_GB2312" w:cs="仿宋_GB2312"/>
          <w:b/>
          <w:bCs/>
          <w:color w:val="auto"/>
        </w:rPr>
      </w:pPr>
      <w:bookmarkStart w:id="140" w:name="_Toc24800"/>
      <w:bookmarkStart w:id="141" w:name="_Toc27735"/>
      <w:bookmarkStart w:id="142" w:name="_Toc21793"/>
      <w:bookmarkStart w:id="143" w:name="_Toc25319"/>
      <w:bookmarkStart w:id="144" w:name="_Toc196493439"/>
      <w:bookmarkStart w:id="145" w:name="_Toc7331"/>
      <w:bookmarkStart w:id="146" w:name="_Toc196493821"/>
      <w:r>
        <w:rPr>
          <w:rFonts w:hint="eastAsia" w:ascii="仿宋_GB2312" w:hAnsi="仿宋_GB2312" w:eastAsia="仿宋_GB2312" w:cs="仿宋_GB2312"/>
          <w:b/>
          <w:bCs/>
          <w:color w:val="auto"/>
        </w:rPr>
        <w:t>4.1.5预算编制科学性</w:t>
      </w:r>
      <w:bookmarkEnd w:id="140"/>
      <w:bookmarkEnd w:id="141"/>
      <w:bookmarkEnd w:id="142"/>
      <w:bookmarkEnd w:id="143"/>
      <w:bookmarkEnd w:id="144"/>
      <w:bookmarkEnd w:id="145"/>
      <w:bookmarkEnd w:id="146"/>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项目预算编制是否经过科学论证、有明确标准，资金额度与年度目标是否相适应，用以反映和考核项目预算编制的科学性、合理性情况。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①预算编制是否经过科学论证；②预算内容与项目内容是否匹配；③预算额度测算依据是否充分，是否按照标准编制；④预算确定的项目投资额或资金量是否与工作任务相匹配。</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满足一项得25%权重分。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根据海南省交通运输厅2024年高速公路建设偿债项目测算明细表，项目测算依据充分，预算确定的项目投资额与任务明细相匹配。预算编制科学性，该指标得满分。</w:t>
      </w:r>
    </w:p>
    <w:p>
      <w:pPr>
        <w:ind w:firstLine="643"/>
        <w:outlineLvl w:val="2"/>
        <w:rPr>
          <w:rFonts w:hint="eastAsia" w:ascii="仿宋_GB2312" w:hAnsi="仿宋_GB2312" w:eastAsia="仿宋_GB2312" w:cs="仿宋_GB2312"/>
          <w:b/>
          <w:bCs/>
          <w:color w:val="auto"/>
        </w:rPr>
      </w:pPr>
      <w:bookmarkStart w:id="147" w:name="_Toc20371"/>
      <w:bookmarkStart w:id="148" w:name="_Toc1704"/>
      <w:bookmarkStart w:id="149" w:name="_Toc20420"/>
      <w:bookmarkStart w:id="150" w:name="_Toc25816"/>
      <w:bookmarkStart w:id="151" w:name="_Toc196493822"/>
      <w:bookmarkStart w:id="152" w:name="_Toc196493440"/>
      <w:bookmarkStart w:id="153" w:name="_Toc31309"/>
      <w:r>
        <w:rPr>
          <w:rFonts w:hint="eastAsia" w:ascii="仿宋_GB2312" w:hAnsi="仿宋_GB2312" w:eastAsia="仿宋_GB2312" w:cs="仿宋_GB2312"/>
          <w:b/>
          <w:bCs/>
          <w:color w:val="auto"/>
        </w:rPr>
        <w:t>4.1.6资金分配合理性</w:t>
      </w:r>
      <w:bookmarkEnd w:id="147"/>
      <w:bookmarkEnd w:id="148"/>
      <w:bookmarkEnd w:id="149"/>
      <w:bookmarkEnd w:id="150"/>
      <w:bookmarkEnd w:id="151"/>
      <w:bookmarkEnd w:id="152"/>
      <w:bookmarkEnd w:id="153"/>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项目预算资金分配是否有测算依据，与补助单位或地方实际是否相适应，用以反映和考核项目预算资金分配的科学性、合理性情况。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①预算资金分配依据是否充分；②资金分配额度是否合理，与项目单位或地方实际是否相适应。</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满足一项得50%权重分。</w:t>
      </w:r>
    </w:p>
    <w:p>
      <w:pPr>
        <w:pStyle w:val="17"/>
        <w:ind w:left="0" w:leftChars="0"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部门依据项目测算及《海南省交通运输厅关于批复2024年交通运输部门预算的通知》（琼交财〔2024〕68号）批复的相关要求进行资金分配。预算资金分配依据充分，资金分配额度合理，该指标得满分。</w:t>
      </w:r>
    </w:p>
    <w:p>
      <w:pPr>
        <w:pStyle w:val="7"/>
        <w:numPr>
          <w:ilvl w:val="0"/>
          <w:numId w:val="3"/>
        </w:numPr>
        <w:outlineLvl w:val="1"/>
        <w:rPr>
          <w:rFonts w:hint="eastAsia" w:ascii="楷体_GB2312" w:hAnsi="楷体_GB2312" w:eastAsia="楷体_GB2312" w:cs="楷体_GB2312"/>
          <w:color w:val="auto"/>
        </w:rPr>
      </w:pPr>
      <w:bookmarkStart w:id="154" w:name="_Toc196493441"/>
      <w:bookmarkStart w:id="155" w:name="_Toc196493823"/>
      <w:r>
        <w:rPr>
          <w:rFonts w:hint="eastAsia" w:ascii="楷体_GB2312" w:hAnsi="楷体_GB2312" w:eastAsia="楷体_GB2312" w:cs="楷体_GB2312"/>
          <w:color w:val="auto"/>
        </w:rPr>
        <w:t>项目过程情况</w:t>
      </w:r>
      <w:bookmarkEnd w:id="154"/>
      <w:bookmarkEnd w:id="155"/>
    </w:p>
    <w:p>
      <w:pPr>
        <w:rPr>
          <w:rFonts w:hint="eastAsia" w:ascii="仿宋_GB2312" w:hAnsi="仿宋_GB2312" w:eastAsia="仿宋_GB2312" w:cs="仿宋_GB2312"/>
          <w:color w:val="auto"/>
        </w:rPr>
      </w:pPr>
      <w:r>
        <w:rPr>
          <w:rFonts w:hint="eastAsia" w:ascii="仿宋_GB2312" w:hAnsi="仿宋_GB2312" w:eastAsia="仿宋_GB2312" w:cs="仿宋_GB2312"/>
          <w:color w:val="auto"/>
        </w:rPr>
        <w:t>过程管理指标从资金管理、组织实施两个方面对项目进行考察，过程管理类指标分值共计24分，本项目实际得分为24分，得分率为100%。各个指标的实际得分情况见下表：</w:t>
      </w:r>
    </w:p>
    <w:p>
      <w:pPr>
        <w:pStyle w:val="26"/>
        <w:ind w:firstLine="562"/>
        <w:rPr>
          <w:rFonts w:hint="eastAsia" w:ascii="仿宋_GB2312" w:hAnsi="仿宋_GB2312" w:eastAsia="仿宋_GB2312" w:cs="仿宋_GB2312"/>
          <w:color w:val="auto"/>
        </w:rPr>
      </w:pPr>
      <w:r>
        <w:rPr>
          <w:rFonts w:hint="eastAsia" w:ascii="仿宋_GB2312" w:hAnsi="仿宋_GB2312" w:eastAsia="仿宋_GB2312" w:cs="仿宋_GB2312"/>
          <w:color w:val="auto"/>
          <w:sz w:val="28"/>
          <w:szCs w:val="32"/>
        </w:rPr>
        <w:t>过程管理类指标得分情况表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7"/>
        <w:gridCol w:w="1694"/>
        <w:gridCol w:w="1694"/>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7"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评价指标</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分值</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资金到位率</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预算执行率</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资金使用合规性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管理制度健全性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5.00</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制度执行有效性</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5.00 </w:t>
            </w:r>
          </w:p>
        </w:tc>
        <w:tc>
          <w:tcPr>
            <w:tcW w:w="1694" w:type="dxa"/>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小计</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24</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24.00</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100%</w:t>
            </w:r>
          </w:p>
        </w:tc>
      </w:tr>
    </w:tbl>
    <w:p>
      <w:pPr>
        <w:ind w:firstLine="643"/>
        <w:outlineLvl w:val="2"/>
        <w:rPr>
          <w:rFonts w:hint="eastAsia" w:ascii="仿宋_GB2312" w:hAnsi="仿宋_GB2312" w:eastAsia="仿宋_GB2312" w:cs="仿宋_GB2312"/>
          <w:b/>
          <w:bCs/>
          <w:color w:val="auto"/>
        </w:rPr>
      </w:pPr>
      <w:bookmarkStart w:id="156" w:name="_Toc196493442"/>
      <w:bookmarkStart w:id="157" w:name="_Toc3028"/>
      <w:bookmarkStart w:id="158" w:name="_Toc16871"/>
      <w:bookmarkStart w:id="159" w:name="_Toc30449"/>
      <w:bookmarkStart w:id="160" w:name="_Toc196493824"/>
      <w:bookmarkStart w:id="161" w:name="_Toc20265"/>
      <w:bookmarkStart w:id="162" w:name="_Toc25103"/>
      <w:bookmarkStart w:id="163" w:name="_Toc16533"/>
      <w:bookmarkStart w:id="164" w:name="_Toc21911"/>
      <w:bookmarkStart w:id="165" w:name="_Toc32284"/>
      <w:bookmarkStart w:id="166" w:name="_Toc30369"/>
      <w:bookmarkStart w:id="167" w:name="_Toc6023"/>
      <w:r>
        <w:rPr>
          <w:rFonts w:hint="eastAsia" w:ascii="仿宋_GB2312" w:hAnsi="仿宋_GB2312" w:eastAsia="仿宋_GB2312" w:cs="仿宋_GB2312"/>
          <w:b/>
          <w:bCs/>
          <w:color w:val="auto"/>
        </w:rPr>
        <w:t>4.2.1资金到位率</w:t>
      </w:r>
      <w:bookmarkEnd w:id="156"/>
      <w:bookmarkEnd w:id="157"/>
      <w:bookmarkEnd w:id="158"/>
      <w:bookmarkEnd w:id="159"/>
      <w:bookmarkEnd w:id="160"/>
      <w:bookmarkEnd w:id="161"/>
      <w:bookmarkEnd w:id="162"/>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实际到位资金与预算资金的比率，用以反映和考核资金落实情况对项目实施的总体保障程度。</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资金到位率=（实际到位资金/预算资金）×100%。</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实际到位资金：一定时期（本年度或项目期）内落实到具体项目的资金。</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预算资金：一定时期（本年度或项目期）内预算安排到具体项目的资金。</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100%得满分权重分，每下降1%扣1%权重分，直至零分。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b w:val="0"/>
          <w:bCs w:val="0"/>
          <w:color w:val="auto"/>
          <w:lang w:val="en-US" w:eastAsia="zh-CN"/>
        </w:rPr>
        <w:t>2024年1月31日，</w:t>
      </w:r>
      <w:r>
        <w:rPr>
          <w:rFonts w:hint="eastAsia" w:ascii="仿宋_GB2312" w:hAnsi="仿宋_GB2312" w:eastAsia="仿宋_GB2312" w:cs="仿宋_GB2312"/>
          <w:color w:val="auto"/>
        </w:rPr>
        <w:t>《海南省交通运输厅关于批复2024年交通运输部门预算的通知》（琼交财〔2024〕68号）安排</w:t>
      </w:r>
      <w:r>
        <w:rPr>
          <w:rFonts w:hint="eastAsia" w:ascii="仿宋_GB2312" w:hAnsi="仿宋_GB2312" w:eastAsia="仿宋_GB2312" w:cs="仿宋_GB2312"/>
          <w:color w:val="auto"/>
          <w:lang w:eastAsia="zh-CN"/>
        </w:rPr>
        <w:t>高速公路建设偿债</w:t>
      </w:r>
      <w:r>
        <w:rPr>
          <w:rFonts w:hint="eastAsia" w:ascii="仿宋_GB2312" w:hAnsi="仿宋_GB2312" w:eastAsia="仿宋_GB2312" w:cs="仿宋_GB2312"/>
          <w:color w:val="auto"/>
        </w:rPr>
        <w:t>资金33</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456.36万元</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2024年9月14日，省财政厅《关于同意调剂省交通运输厅部门预算的通知》（琼财建〔2024〕922号）调剂当年预算指标4,000万元;2024年12月12日，省财政厅《关于收回省交通运输厅2024年部分预算指标的通知》（琼财建〔2024〕1431号）收回高速公路建设偿债资金2,996万元。调剂和</w:t>
      </w:r>
      <w:r>
        <w:rPr>
          <w:rFonts w:hint="eastAsia" w:ascii="仿宋_GB2312" w:hAnsi="仿宋_GB2312" w:eastAsia="仿宋_GB2312" w:cs="仿宋_GB2312"/>
          <w:color w:val="auto"/>
        </w:rPr>
        <w:t>财政收回预算指标后，省交通运输厅2024年预算安排高速公路建设偿债资金26,460.36万元，实际到位资金26,460.36万元，资金到位率100%，该指标得满分。</w:t>
      </w:r>
    </w:p>
    <w:p>
      <w:pPr>
        <w:ind w:firstLine="643"/>
        <w:outlineLvl w:val="2"/>
        <w:rPr>
          <w:rFonts w:hint="eastAsia" w:ascii="仿宋_GB2312" w:hAnsi="仿宋_GB2312" w:eastAsia="仿宋_GB2312" w:cs="仿宋_GB2312"/>
          <w:b/>
          <w:bCs/>
          <w:color w:val="auto"/>
        </w:rPr>
      </w:pPr>
      <w:bookmarkStart w:id="168" w:name="_Toc196493443"/>
      <w:bookmarkStart w:id="169" w:name="_Toc14763"/>
      <w:bookmarkStart w:id="170" w:name="_Toc12215"/>
      <w:bookmarkStart w:id="171" w:name="_Toc196493825"/>
      <w:bookmarkStart w:id="172" w:name="_Toc14375"/>
      <w:bookmarkStart w:id="173" w:name="_Toc16517"/>
      <w:bookmarkStart w:id="174" w:name="_Toc27071"/>
      <w:r>
        <w:rPr>
          <w:rFonts w:hint="eastAsia" w:ascii="仿宋_GB2312" w:hAnsi="仿宋_GB2312" w:eastAsia="仿宋_GB2312" w:cs="仿宋_GB2312"/>
          <w:b/>
          <w:bCs/>
          <w:color w:val="auto"/>
        </w:rPr>
        <w:t>4.2.2预算执行率</w:t>
      </w:r>
      <w:bookmarkEnd w:id="168"/>
      <w:bookmarkEnd w:id="169"/>
      <w:bookmarkEnd w:id="170"/>
      <w:bookmarkEnd w:id="171"/>
      <w:bookmarkEnd w:id="172"/>
      <w:bookmarkEnd w:id="173"/>
      <w:bookmarkEnd w:id="174"/>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项目预算资金是否按照计划执行，用以反映或考核项目预算执行情况。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预算执行率=（实际支出资金/实际到位资金）×100%。</w:t>
      </w:r>
    </w:p>
    <w:p>
      <w:pPr>
        <w:rPr>
          <w:rFonts w:hint="eastAsia" w:ascii="仿宋_GB2312" w:hAnsi="仿宋_GB2312" w:eastAsia="仿宋_GB2312" w:cs="仿宋_GB2312"/>
          <w:color w:val="auto"/>
        </w:rPr>
      </w:pPr>
      <w:r>
        <w:rPr>
          <w:rFonts w:hint="eastAsia" w:ascii="仿宋_GB2312" w:hAnsi="仿宋_GB2312" w:eastAsia="仿宋_GB2312" w:cs="仿宋_GB2312"/>
          <w:color w:val="auto"/>
        </w:rPr>
        <w:t>实际支出资金：一定时期（本年度或项目期）内项目实际拨付的资金。</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100%得满分权重分，每下降1%扣1%权重分，直至零分。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根据相关材料，2024年高速公路建设偿债项目实际到位资金26,460.36万元，2024年实际支出26,4</w:t>
      </w:r>
      <w:r>
        <w:rPr>
          <w:rFonts w:hint="eastAsia" w:ascii="仿宋_GB2312" w:hAnsi="仿宋_GB2312" w:eastAsia="仿宋_GB2312" w:cs="仿宋_GB2312"/>
          <w:color w:val="auto"/>
          <w:lang w:val="en-US" w:eastAsia="zh-CN"/>
        </w:rPr>
        <w:t>59.49</w:t>
      </w:r>
      <w:r>
        <w:rPr>
          <w:rFonts w:hint="eastAsia" w:ascii="仿宋_GB2312" w:hAnsi="仿宋_GB2312" w:eastAsia="仿宋_GB2312" w:cs="仿宋_GB2312"/>
          <w:color w:val="auto"/>
        </w:rPr>
        <w:t>万元，预算执行率100.00%。该指标得满分。具体支出见下表：</w:t>
      </w:r>
    </w:p>
    <w:p>
      <w:pPr>
        <w:pStyle w:val="17"/>
        <w:ind w:left="0" w:leftChars="0" w:firstLine="0" w:firstLineChars="0"/>
        <w:jc w:val="center"/>
        <w:rPr>
          <w:rFonts w:hint="eastAsia" w:ascii="仿宋_GB2312" w:hAnsi="仿宋_GB2312" w:eastAsia="仿宋_GB2312" w:cs="仿宋_GB2312"/>
          <w:b/>
          <w:bCs/>
          <w:color w:val="auto"/>
          <w:sz w:val="28"/>
          <w:szCs w:val="22"/>
        </w:rPr>
      </w:pPr>
      <w:r>
        <w:rPr>
          <w:rFonts w:hint="eastAsia" w:ascii="仿宋_GB2312" w:hAnsi="仿宋_GB2312" w:eastAsia="仿宋_GB2312" w:cs="仿宋_GB2312"/>
          <w:b/>
          <w:bCs/>
          <w:color w:val="auto"/>
          <w:sz w:val="28"/>
          <w:szCs w:val="22"/>
        </w:rPr>
        <w:t>高速公路建设偿债资金支出情况表</w:t>
      </w:r>
    </w:p>
    <w:p>
      <w:pPr>
        <w:pStyle w:val="17"/>
        <w:ind w:left="0" w:leftChars="0" w:firstLine="480"/>
        <w:jc w:val="righ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金额单位：元</w:t>
      </w:r>
    </w:p>
    <w:tbl>
      <w:tblPr>
        <w:tblStyle w:val="18"/>
        <w:tblW w:w="5000" w:type="pct"/>
        <w:tblInd w:w="0" w:type="dxa"/>
        <w:tblLayout w:type="autofit"/>
        <w:tblCellMar>
          <w:top w:w="0" w:type="dxa"/>
          <w:left w:w="108" w:type="dxa"/>
          <w:bottom w:w="0" w:type="dxa"/>
          <w:right w:w="108" w:type="dxa"/>
        </w:tblCellMar>
      </w:tblPr>
      <w:tblGrid>
        <w:gridCol w:w="698"/>
        <w:gridCol w:w="1589"/>
        <w:gridCol w:w="1982"/>
        <w:gridCol w:w="2212"/>
        <w:gridCol w:w="2041"/>
      </w:tblGrid>
      <w:tr>
        <w:tblPrEx>
          <w:tblCellMar>
            <w:top w:w="0" w:type="dxa"/>
            <w:left w:w="108" w:type="dxa"/>
            <w:bottom w:w="0" w:type="dxa"/>
            <w:right w:w="108" w:type="dxa"/>
          </w:tblCellMar>
        </w:tblPrEx>
        <w:trPr>
          <w:trHeight w:val="23"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序号</w:t>
            </w:r>
          </w:p>
        </w:tc>
        <w:tc>
          <w:tcPr>
            <w:tcW w:w="9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季度</w:t>
            </w:r>
          </w:p>
        </w:tc>
        <w:tc>
          <w:tcPr>
            <w:tcW w:w="366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支出金额</w:t>
            </w:r>
          </w:p>
        </w:tc>
      </w:tr>
      <w:tr>
        <w:tblPrEx>
          <w:tblCellMar>
            <w:top w:w="0" w:type="dxa"/>
            <w:left w:w="108" w:type="dxa"/>
            <w:bottom w:w="0" w:type="dxa"/>
            <w:right w:w="108" w:type="dxa"/>
          </w:tblCellMar>
        </w:tblPrEx>
        <w:trPr>
          <w:trHeight w:val="23"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hint="eastAsia" w:ascii="仿宋_GB2312" w:hAnsi="仿宋_GB2312" w:eastAsia="仿宋_GB2312" w:cs="仿宋_GB2312"/>
                <w:color w:val="auto"/>
                <w:sz w:val="24"/>
              </w:rPr>
            </w:pPr>
          </w:p>
        </w:tc>
        <w:tc>
          <w:tcPr>
            <w:tcW w:w="9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hint="eastAsia" w:ascii="仿宋_GB2312" w:hAnsi="仿宋_GB2312" w:eastAsia="仿宋_GB2312" w:cs="仿宋_GB2312"/>
                <w:color w:val="auto"/>
                <w:sz w:val="24"/>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本金</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利息</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小计</w:t>
            </w:r>
          </w:p>
        </w:tc>
      </w:tr>
      <w:tr>
        <w:tblPrEx>
          <w:tblCellMar>
            <w:top w:w="0" w:type="dxa"/>
            <w:left w:w="108" w:type="dxa"/>
            <w:bottom w:w="0" w:type="dxa"/>
            <w:right w:w="108" w:type="dxa"/>
          </w:tblCellMar>
        </w:tblPrEx>
        <w:trPr>
          <w:trHeight w:val="23"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第一季度</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5,391,257.00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16,654,565.61</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22,045,822.61</w:t>
            </w:r>
          </w:p>
        </w:tc>
      </w:tr>
      <w:tr>
        <w:tblPrEx>
          <w:tblCellMar>
            <w:top w:w="0" w:type="dxa"/>
            <w:left w:w="108" w:type="dxa"/>
            <w:bottom w:w="0" w:type="dxa"/>
            <w:right w:w="108" w:type="dxa"/>
          </w:tblCellMar>
        </w:tblPrEx>
        <w:trPr>
          <w:trHeight w:val="23"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第二季度</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77,700,000.00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24,751,723.33</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102,451,723.33</w:t>
            </w:r>
          </w:p>
        </w:tc>
      </w:tr>
      <w:tr>
        <w:tblPrEx>
          <w:tblCellMar>
            <w:top w:w="0" w:type="dxa"/>
            <w:left w:w="108" w:type="dxa"/>
            <w:bottom w:w="0" w:type="dxa"/>
            <w:right w:w="108" w:type="dxa"/>
          </w:tblCellMar>
        </w:tblPrEx>
        <w:trPr>
          <w:trHeight w:val="23"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3</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第三季度</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5,191,257.00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15,888,537.06</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21,079,794.06</w:t>
            </w:r>
          </w:p>
        </w:tc>
      </w:tr>
      <w:tr>
        <w:tblPrEx>
          <w:tblCellMar>
            <w:top w:w="0" w:type="dxa"/>
            <w:left w:w="108" w:type="dxa"/>
            <w:bottom w:w="0" w:type="dxa"/>
            <w:right w:w="108" w:type="dxa"/>
          </w:tblCellMar>
        </w:tblPrEx>
        <w:trPr>
          <w:trHeight w:val="23"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第四季度</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77,700,000.00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41,317,538.34</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119,017,538.34</w:t>
            </w:r>
          </w:p>
        </w:tc>
      </w:tr>
      <w:tr>
        <w:tblPrEx>
          <w:tblCellMar>
            <w:top w:w="0" w:type="dxa"/>
            <w:left w:w="108" w:type="dxa"/>
            <w:bottom w:w="0" w:type="dxa"/>
            <w:right w:w="108" w:type="dxa"/>
          </w:tblCellMar>
        </w:tblPrEx>
        <w:trPr>
          <w:trHeight w:val="23" w:hRule="atLeast"/>
        </w:trPr>
        <w:tc>
          <w:tcPr>
            <w:tcW w:w="133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合计</w:t>
            </w: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color w:val="auto"/>
                <w:sz w:val="21"/>
                <w:szCs w:val="21"/>
              </w:rPr>
              <w:t>165,982,514.00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color w:val="auto"/>
                <w:sz w:val="21"/>
                <w:szCs w:val="21"/>
              </w:rPr>
              <w:t>98,612,364.34</w:t>
            </w:r>
          </w:p>
        </w:tc>
        <w:tc>
          <w:tcPr>
            <w:tcW w:w="1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right"/>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color w:val="auto"/>
                <w:sz w:val="21"/>
                <w:szCs w:val="21"/>
              </w:rPr>
              <w:t>264,594,878.34</w:t>
            </w:r>
          </w:p>
        </w:tc>
      </w:tr>
    </w:tbl>
    <w:p>
      <w:pPr>
        <w:ind w:firstLine="643"/>
        <w:outlineLvl w:val="2"/>
        <w:rPr>
          <w:rFonts w:hint="eastAsia" w:ascii="仿宋_GB2312" w:hAnsi="仿宋_GB2312" w:eastAsia="仿宋_GB2312" w:cs="仿宋_GB2312"/>
          <w:b/>
          <w:bCs/>
          <w:color w:val="auto"/>
        </w:rPr>
      </w:pPr>
      <w:bookmarkStart w:id="175" w:name="_Toc196493826"/>
      <w:bookmarkStart w:id="176" w:name="_Toc196493444"/>
      <w:r>
        <w:rPr>
          <w:rFonts w:hint="eastAsia" w:ascii="仿宋_GB2312" w:hAnsi="仿宋_GB2312" w:eastAsia="仿宋_GB2312" w:cs="仿宋_GB2312"/>
          <w:b/>
          <w:bCs/>
          <w:color w:val="auto"/>
        </w:rPr>
        <w:t>4.2.3资金使用合规性</w:t>
      </w:r>
      <w:bookmarkEnd w:id="163"/>
      <w:bookmarkEnd w:id="164"/>
      <w:bookmarkEnd w:id="165"/>
      <w:bookmarkEnd w:id="166"/>
      <w:bookmarkEnd w:id="167"/>
      <w:bookmarkEnd w:id="175"/>
      <w:bookmarkEnd w:id="176"/>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项目资金使用是否符合相关的财务管理制度规定，用以反映和考核项目资金的规范运行情况。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条件④不满足，本指标不得分；条件④满足，其余三项每满足1项得1/3权重分。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部门提供的项目支出相关材料，项目资金主要用于高速公路建设偿债的还本及付息，四个季度均有资金拨付请示，符合《海南省交通运输厅机关经费支出管理规定》。项目资金使用符合部门财务管理制度规定，资金拨付有完整的审批程序，资金支出范围符合项目预算批复的用途，未发现残留、挤占、挪用、虚列支出等情况。该指标得满分。</w:t>
      </w:r>
    </w:p>
    <w:p>
      <w:pPr>
        <w:ind w:firstLine="643"/>
        <w:outlineLvl w:val="2"/>
        <w:rPr>
          <w:rFonts w:hint="eastAsia" w:ascii="仿宋_GB2312" w:hAnsi="仿宋_GB2312" w:eastAsia="仿宋_GB2312" w:cs="仿宋_GB2312"/>
          <w:b/>
          <w:bCs/>
          <w:color w:val="auto"/>
        </w:rPr>
      </w:pPr>
      <w:bookmarkStart w:id="177" w:name="_Toc196493445"/>
      <w:bookmarkStart w:id="178" w:name="_Toc15317"/>
      <w:bookmarkStart w:id="179" w:name="_Toc19642"/>
      <w:bookmarkStart w:id="180" w:name="_Toc30191"/>
      <w:bookmarkStart w:id="181" w:name="_Toc196493827"/>
      <w:bookmarkStart w:id="182" w:name="_Toc11394"/>
      <w:bookmarkStart w:id="183" w:name="_Toc12508"/>
      <w:r>
        <w:rPr>
          <w:rFonts w:hint="eastAsia" w:ascii="仿宋_GB2312" w:hAnsi="仿宋_GB2312" w:eastAsia="仿宋_GB2312" w:cs="仿宋_GB2312"/>
          <w:b/>
          <w:bCs/>
          <w:color w:val="auto"/>
        </w:rPr>
        <w:t>4.2.4管理制度健全性</w:t>
      </w:r>
      <w:bookmarkEnd w:id="177"/>
      <w:bookmarkEnd w:id="178"/>
      <w:bookmarkEnd w:id="179"/>
      <w:bookmarkEnd w:id="180"/>
      <w:bookmarkEnd w:id="181"/>
      <w:bookmarkEnd w:id="182"/>
      <w:bookmarkEnd w:id="183"/>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项目实施单位的财务和业务管理制度是否健全，用以反映和考核财务和业务管理制度对项目顺利实施的保障情况。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①是否已制定或具有相应的财务和业务管理制度；②财务和业务管理制度是否合法、合规、完整。</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满足一项得50%权重分。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部门制定了《海南省交通运输厅机关经费支出管理规定》的财务管理制度，财务管理制度合法、合规、完整。管理制度健全，该指标得满分。</w:t>
      </w:r>
    </w:p>
    <w:p>
      <w:pPr>
        <w:ind w:firstLine="643"/>
        <w:outlineLvl w:val="2"/>
        <w:rPr>
          <w:rFonts w:hint="eastAsia" w:ascii="仿宋_GB2312" w:hAnsi="仿宋_GB2312" w:eastAsia="仿宋_GB2312" w:cs="仿宋_GB2312"/>
          <w:b/>
          <w:bCs/>
          <w:color w:val="auto"/>
        </w:rPr>
      </w:pPr>
      <w:bookmarkStart w:id="184" w:name="_Toc27393"/>
      <w:bookmarkStart w:id="185" w:name="_Toc24989"/>
      <w:bookmarkStart w:id="186" w:name="_Toc196493446"/>
      <w:bookmarkStart w:id="187" w:name="_Toc9694"/>
      <w:bookmarkStart w:id="188" w:name="_Toc196493828"/>
      <w:bookmarkStart w:id="189" w:name="_Toc25282"/>
      <w:bookmarkStart w:id="190" w:name="_Toc3857"/>
      <w:r>
        <w:rPr>
          <w:rFonts w:hint="eastAsia" w:ascii="仿宋_GB2312" w:hAnsi="仿宋_GB2312" w:eastAsia="仿宋_GB2312" w:cs="仿宋_GB2312"/>
          <w:b/>
          <w:bCs/>
          <w:color w:val="auto"/>
        </w:rPr>
        <w:t>4.2.5制度执行有效性</w:t>
      </w:r>
      <w:bookmarkEnd w:id="184"/>
      <w:bookmarkEnd w:id="185"/>
      <w:bookmarkEnd w:id="186"/>
      <w:bookmarkEnd w:id="187"/>
      <w:bookmarkEnd w:id="188"/>
      <w:bookmarkEnd w:id="189"/>
      <w:bookmarkEnd w:id="190"/>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项目实施是否符合相关管理规定，用以反映和考核相关管理制度的有效执行情况。</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①是否遵守相关法律法规和相关管理规定；②项目调整及支出调整手续是否完备；③项目合同书、验收报告、技术鉴定等资料是否齐全并及时归档；④项目实施的人员条件、场地设备、信息支撑等是否落实到位。</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满足一项得25%权重分。</w:t>
      </w:r>
    </w:p>
    <w:p>
      <w:pPr>
        <w:pStyle w:val="17"/>
        <w:ind w:left="0" w:leftChars="0"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根据部门所提供的项目支出明等相关材料，项目按照规定时间及应付金额进行本息偿债支付，项目支出有完整的审批手续和程序，项目实施遵守相关管理规定，制度执行有效，该指标得满分。</w:t>
      </w:r>
    </w:p>
    <w:p>
      <w:pPr>
        <w:pStyle w:val="7"/>
        <w:numPr>
          <w:ilvl w:val="0"/>
          <w:numId w:val="3"/>
        </w:numPr>
        <w:outlineLvl w:val="1"/>
        <w:rPr>
          <w:rFonts w:hint="eastAsia" w:ascii="楷体_GB2312" w:hAnsi="楷体_GB2312" w:eastAsia="楷体_GB2312" w:cs="楷体_GB2312"/>
          <w:color w:val="auto"/>
        </w:rPr>
      </w:pPr>
      <w:bookmarkStart w:id="191" w:name="_Toc196493829"/>
      <w:bookmarkStart w:id="192" w:name="_Toc196493447"/>
      <w:r>
        <w:rPr>
          <w:rFonts w:hint="eastAsia" w:ascii="楷体_GB2312" w:hAnsi="楷体_GB2312" w:eastAsia="楷体_GB2312" w:cs="楷体_GB2312"/>
          <w:color w:val="auto"/>
        </w:rPr>
        <w:t>项目产出情况</w:t>
      </w:r>
      <w:bookmarkEnd w:id="191"/>
      <w:bookmarkEnd w:id="192"/>
    </w:p>
    <w:p>
      <w:pPr>
        <w:rPr>
          <w:rFonts w:hint="eastAsia" w:ascii="仿宋_GB2312" w:hAnsi="仿宋_GB2312" w:eastAsia="仿宋_GB2312" w:cs="仿宋_GB2312"/>
          <w:color w:val="auto"/>
        </w:rPr>
      </w:pPr>
      <w:r>
        <w:rPr>
          <w:rFonts w:hint="eastAsia" w:ascii="仿宋_GB2312" w:hAnsi="仿宋_GB2312" w:eastAsia="仿宋_GB2312" w:cs="仿宋_GB2312"/>
          <w:color w:val="auto"/>
        </w:rPr>
        <w:t>项目产出指标从数量指标、质量指标、时效指标三个方面对项目进行考察，产出类指标分值共计30分。本项目实际得分为30分，得分率为100%。各个指标的实际得分情况见下表</w:t>
      </w:r>
      <w:r>
        <w:rPr>
          <w:rFonts w:hint="eastAsia" w:ascii="仿宋_GB2312" w:hAnsi="仿宋_GB2312" w:eastAsia="仿宋_GB2312" w:cs="仿宋_GB2312"/>
          <w:color w:val="auto"/>
          <w:lang w:eastAsia="zh-Hans"/>
        </w:rPr>
        <w:t>：</w:t>
      </w:r>
    </w:p>
    <w:p>
      <w:pPr>
        <w:pStyle w:val="26"/>
        <w:ind w:firstLine="562"/>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lang w:eastAsia="zh-Hans"/>
        </w:rPr>
        <w:t>产出</w:t>
      </w:r>
      <w:r>
        <w:rPr>
          <w:rFonts w:hint="eastAsia" w:ascii="仿宋_GB2312" w:hAnsi="仿宋_GB2312" w:eastAsia="仿宋_GB2312" w:cs="仿宋_GB2312"/>
          <w:color w:val="auto"/>
          <w:sz w:val="28"/>
          <w:szCs w:val="32"/>
        </w:rPr>
        <w:t>类指标得分情况表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41"/>
        <w:gridCol w:w="1092"/>
        <w:gridCol w:w="1694"/>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372"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评价指标</w:t>
            </w:r>
          </w:p>
        </w:tc>
        <w:tc>
          <w:tcPr>
            <w:tcW w:w="641"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分值</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72"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还本付息完成率</w:t>
            </w:r>
          </w:p>
        </w:tc>
        <w:tc>
          <w:tcPr>
            <w:tcW w:w="641"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12.00</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72"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偿债资金使用</w:t>
            </w:r>
          </w:p>
        </w:tc>
        <w:tc>
          <w:tcPr>
            <w:tcW w:w="641"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12.00</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72"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按期偿债及时率</w:t>
            </w:r>
          </w:p>
        </w:tc>
        <w:tc>
          <w:tcPr>
            <w:tcW w:w="641"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6.00</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72"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小计</w:t>
            </w:r>
          </w:p>
        </w:tc>
        <w:tc>
          <w:tcPr>
            <w:tcW w:w="641"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30</w:t>
            </w:r>
          </w:p>
        </w:tc>
        <w:tc>
          <w:tcPr>
            <w:tcW w:w="994"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30.00</w:t>
            </w:r>
          </w:p>
        </w:tc>
        <w:tc>
          <w:tcPr>
            <w:tcW w:w="994"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100.00%</w:t>
            </w:r>
          </w:p>
        </w:tc>
      </w:tr>
    </w:tbl>
    <w:p>
      <w:pPr>
        <w:ind w:firstLine="643"/>
        <w:outlineLvl w:val="2"/>
        <w:rPr>
          <w:rFonts w:hint="eastAsia" w:ascii="仿宋_GB2312" w:hAnsi="仿宋_GB2312" w:eastAsia="仿宋_GB2312" w:cs="仿宋_GB2312"/>
          <w:b/>
          <w:bCs/>
          <w:color w:val="auto"/>
        </w:rPr>
      </w:pPr>
      <w:bookmarkStart w:id="193" w:name="_Toc11929"/>
      <w:bookmarkStart w:id="194" w:name="_Toc17704"/>
      <w:bookmarkStart w:id="195" w:name="_Toc15262"/>
      <w:bookmarkStart w:id="196" w:name="_Toc11724"/>
      <w:bookmarkStart w:id="197" w:name="_Toc196493448"/>
      <w:bookmarkStart w:id="198" w:name="_Toc196493830"/>
      <w:bookmarkStart w:id="199" w:name="_Toc16629"/>
      <w:r>
        <w:rPr>
          <w:rFonts w:hint="eastAsia" w:ascii="仿宋_GB2312" w:hAnsi="仿宋_GB2312" w:eastAsia="仿宋_GB2312" w:cs="仿宋_GB2312"/>
          <w:b/>
          <w:bCs/>
          <w:color w:val="auto"/>
        </w:rPr>
        <w:t>4.3.1</w:t>
      </w:r>
      <w:bookmarkEnd w:id="193"/>
      <w:bookmarkEnd w:id="194"/>
      <w:bookmarkEnd w:id="195"/>
      <w:r>
        <w:rPr>
          <w:rFonts w:hint="eastAsia" w:ascii="仿宋_GB2312" w:hAnsi="仿宋_GB2312" w:eastAsia="仿宋_GB2312" w:cs="仿宋_GB2312"/>
          <w:b/>
          <w:bCs/>
          <w:color w:val="auto"/>
        </w:rPr>
        <w:t>还本付息完成率</w:t>
      </w:r>
      <w:bookmarkEnd w:id="196"/>
      <w:bookmarkEnd w:id="197"/>
      <w:bookmarkEnd w:id="198"/>
      <w:bookmarkEnd w:id="199"/>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考察还本付息完成率。</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业绩值=还本付息完成数量/还本付息总数*100%。</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达到100%得满分权重分，每下降1%扣1%权重分，直至零分。</w:t>
      </w:r>
    </w:p>
    <w:p>
      <w:pPr>
        <w:pStyle w:val="17"/>
        <w:ind w:left="0" w:leftChars="0"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根据项目支出明细、海南省交通投资控股有限公司四个季度偿债资金的请示，2024年高速公路建设项目需偿还264,594,878.34元，其中本金165,982,514.00元、利息98,612,364.34元。</w:t>
      </w:r>
    </w:p>
    <w:p>
      <w:pPr>
        <w:pStyle w:val="17"/>
        <w:numPr>
          <w:ilvl w:val="0"/>
          <w:numId w:val="4"/>
        </w:numPr>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第一季度高速公路建设需偿还本息22,045,822.61元，均已完成支付。其中用于偿还东线高速日元贷款（C21）本金5,191,257.00元、支付海南中线屯昌至琼中段本金200,000.00元，支付海南中线屯昌至琼中段、环岛高速公路改造工程九所至八所及邦溪至白马井段等项目利息16,654,565.61元。具体如下表：</w:t>
      </w:r>
    </w:p>
    <w:p>
      <w:pPr>
        <w:pStyle w:val="17"/>
        <w:ind w:left="0" w:leftChars="0" w:firstLine="0" w:firstLineChars="0"/>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高速公路建设偿债第一季度还本付息情况表</w:t>
      </w:r>
    </w:p>
    <w:tbl>
      <w:tblPr>
        <w:tblStyle w:val="18"/>
        <w:tblW w:w="0" w:type="auto"/>
        <w:tblInd w:w="0" w:type="dxa"/>
        <w:tblLayout w:type="autofit"/>
        <w:tblCellMar>
          <w:top w:w="0" w:type="dxa"/>
          <w:left w:w="108" w:type="dxa"/>
          <w:bottom w:w="0" w:type="dxa"/>
          <w:right w:w="108" w:type="dxa"/>
        </w:tblCellMar>
      </w:tblPr>
      <w:tblGrid>
        <w:gridCol w:w="427"/>
        <w:gridCol w:w="3716"/>
        <w:gridCol w:w="1262"/>
        <w:gridCol w:w="1436"/>
        <w:gridCol w:w="1681"/>
      </w:tblGrid>
      <w:tr>
        <w:tblPrEx>
          <w:tblCellMar>
            <w:top w:w="0" w:type="dxa"/>
            <w:left w:w="108" w:type="dxa"/>
            <w:bottom w:w="0" w:type="dxa"/>
            <w:right w:w="108" w:type="dxa"/>
          </w:tblCellMar>
        </w:tblPrEx>
        <w:trPr>
          <w:trHeight w:val="23" w:hRule="atLeast"/>
          <w:tblHead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序号</w:t>
            </w:r>
          </w:p>
        </w:tc>
        <w:tc>
          <w:tcPr>
            <w:tcW w:w="3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项目名称</w:t>
            </w:r>
          </w:p>
        </w:tc>
        <w:tc>
          <w:tcPr>
            <w:tcW w:w="43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第一季度（万元）</w:t>
            </w:r>
          </w:p>
        </w:tc>
      </w:tr>
      <w:tr>
        <w:tblPrEx>
          <w:tblCellMar>
            <w:top w:w="0" w:type="dxa"/>
            <w:left w:w="108" w:type="dxa"/>
            <w:bottom w:w="0" w:type="dxa"/>
            <w:right w:w="108" w:type="dxa"/>
          </w:tblCellMar>
        </w:tblPrEx>
        <w:trPr>
          <w:trHeight w:val="23" w:hRule="atLeast"/>
          <w:tblHead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rPr>
                <w:rFonts w:hint="eastAsia" w:ascii="仿宋_GB2312" w:hAnsi="仿宋_GB2312" w:eastAsia="仿宋_GB2312" w:cs="仿宋_GB2312"/>
                <w:color w:val="auto"/>
                <w:sz w:val="21"/>
                <w:szCs w:val="21"/>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rPr>
                <w:rFonts w:hint="eastAsia" w:ascii="仿宋_GB2312" w:hAnsi="仿宋_GB2312" w:eastAsia="仿宋_GB2312" w:cs="仿宋_GB2312"/>
                <w:color w:val="auto"/>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应还本金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应付利息</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小计</w:t>
            </w:r>
          </w:p>
        </w:tc>
      </w:tr>
      <w:tr>
        <w:tblPrEx>
          <w:tblCellMar>
            <w:top w:w="0" w:type="dxa"/>
            <w:left w:w="108" w:type="dxa"/>
            <w:bottom w:w="0" w:type="dxa"/>
            <w:right w:w="108" w:type="dxa"/>
          </w:tblCellMar>
        </w:tblPrEx>
        <w:trPr>
          <w:trHeight w:val="23" w:hRule="atLeast"/>
        </w:trPr>
        <w:tc>
          <w:tcPr>
            <w:tcW w:w="4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合计</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539.13</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1,665.46</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2,204.58</w:t>
            </w:r>
          </w:p>
        </w:tc>
      </w:tr>
      <w:tr>
        <w:tblPrEx>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1</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海口至洋浦1小时交通圈</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56.81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56.81</w:t>
            </w:r>
          </w:p>
        </w:tc>
      </w:tr>
      <w:tr>
        <w:tblPrEx>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2</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海口至文昌高速公路改建</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33.07</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33.07</w:t>
            </w:r>
          </w:p>
        </w:tc>
      </w:tr>
      <w:tr>
        <w:tblPrEx>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3</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环岛高速公路改造工程九所至八所及邦溪至白马井段项目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526.44</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526.44</w:t>
            </w:r>
          </w:p>
        </w:tc>
      </w:tr>
      <w:tr>
        <w:tblPrEx>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4</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海南中线屯昌至琼中段</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20.00</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965.02</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985.02</w:t>
            </w:r>
          </w:p>
        </w:tc>
      </w:tr>
      <w:tr>
        <w:tblPrEx>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5</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东线高速日元贷款（C21）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519.13</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84.13</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603.26</w:t>
            </w:r>
          </w:p>
        </w:tc>
      </w:tr>
    </w:tbl>
    <w:p>
      <w:pPr>
        <w:pStyle w:val="17"/>
        <w:numPr>
          <w:ilvl w:val="0"/>
          <w:numId w:val="4"/>
        </w:numPr>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第二季度高速公路建设需偿还本息102,451,723.33元,均已完成支付。其中用于偿还海口至文昌高速公路改建、环岛高速公路改造工程九所至八所及邦溪至白马井段项目、海南中线屯昌至琼中段项目的本金共77,700,000.00元，支付海南中线屯昌至琼中段、环岛高速公路改造工程九所至八所及邦溪至白马井段等项目利息共24,751,723.33元。具体如下表：</w:t>
      </w:r>
    </w:p>
    <w:p>
      <w:pPr>
        <w:pStyle w:val="17"/>
        <w:ind w:left="0" w:leftChars="0" w:firstLine="0" w:firstLineChars="0"/>
        <w:jc w:val="center"/>
        <w:rPr>
          <w:rFonts w:hint="eastAsia" w:ascii="仿宋_GB2312" w:hAnsi="仿宋_GB2312" w:eastAsia="仿宋_GB2312" w:cs="仿宋_GB2312"/>
          <w:color w:val="auto"/>
        </w:rPr>
      </w:pPr>
      <w:r>
        <w:rPr>
          <w:rFonts w:hint="eastAsia" w:ascii="仿宋_GB2312" w:hAnsi="仿宋_GB2312" w:eastAsia="仿宋_GB2312" w:cs="仿宋_GB2312"/>
          <w:b/>
          <w:bCs/>
          <w:color w:val="auto"/>
          <w:sz w:val="28"/>
          <w:szCs w:val="28"/>
        </w:rPr>
        <w:t>高速公路建设偿债第二季度还本付息情况表</w:t>
      </w:r>
    </w:p>
    <w:tbl>
      <w:tblPr>
        <w:tblStyle w:val="18"/>
        <w:tblW w:w="8899" w:type="dxa"/>
        <w:tblInd w:w="0" w:type="dxa"/>
        <w:tblLayout w:type="autofit"/>
        <w:tblCellMar>
          <w:top w:w="0" w:type="dxa"/>
          <w:left w:w="108" w:type="dxa"/>
          <w:bottom w:w="0" w:type="dxa"/>
          <w:right w:w="108" w:type="dxa"/>
        </w:tblCellMar>
      </w:tblPr>
      <w:tblGrid>
        <w:gridCol w:w="566"/>
        <w:gridCol w:w="3800"/>
        <w:gridCol w:w="1696"/>
        <w:gridCol w:w="1336"/>
        <w:gridCol w:w="1501"/>
      </w:tblGrid>
      <w:tr>
        <w:tblPrEx>
          <w:tblCellMar>
            <w:top w:w="0" w:type="dxa"/>
            <w:left w:w="108" w:type="dxa"/>
            <w:bottom w:w="0" w:type="dxa"/>
            <w:right w:w="108" w:type="dxa"/>
          </w:tblCellMar>
        </w:tblPrEx>
        <w:trPr>
          <w:trHeight w:val="23" w:hRule="atLeast"/>
          <w:tblHeader/>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序号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项目名称</w:t>
            </w:r>
          </w:p>
        </w:tc>
        <w:tc>
          <w:tcPr>
            <w:tcW w:w="43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第二季度（万元）</w:t>
            </w:r>
          </w:p>
        </w:tc>
      </w:tr>
      <w:tr>
        <w:tblPrEx>
          <w:tblCellMar>
            <w:top w:w="0" w:type="dxa"/>
            <w:left w:w="108" w:type="dxa"/>
            <w:bottom w:w="0" w:type="dxa"/>
            <w:right w:w="108" w:type="dxa"/>
          </w:tblCellMar>
        </w:tblPrEx>
        <w:trPr>
          <w:trHeight w:val="23" w:hRule="atLeast"/>
          <w:tblHead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应还本金</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应付利息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小计</w:t>
            </w:r>
          </w:p>
        </w:tc>
      </w:tr>
      <w:tr>
        <w:tblPrEx>
          <w:tblCellMar>
            <w:top w:w="0" w:type="dxa"/>
            <w:left w:w="108" w:type="dxa"/>
            <w:bottom w:w="0" w:type="dxa"/>
            <w:right w:w="108" w:type="dxa"/>
          </w:tblCellMar>
        </w:tblPrEx>
        <w:trPr>
          <w:trHeight w:val="23"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422"/>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合计</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7,770.00</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2,475.17</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10,245.17</w:t>
            </w:r>
          </w:p>
        </w:tc>
      </w:tr>
      <w:tr>
        <w:tblPrEx>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color w:val="auto"/>
                <w:kern w:val="0"/>
                <w:sz w:val="21"/>
                <w:szCs w:val="21"/>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color w:val="auto"/>
                <w:sz w:val="21"/>
                <w:szCs w:val="21"/>
              </w:rPr>
              <w:t>海口至洋浦1小时交通圈</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57.43</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57.43</w:t>
            </w:r>
          </w:p>
        </w:tc>
      </w:tr>
      <w:tr>
        <w:tblPrEx>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海口至文昌高速公路改建</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250.00</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32.45</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282.45</w:t>
            </w:r>
          </w:p>
        </w:tc>
      </w:tr>
      <w:tr>
        <w:tblPrEx>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环岛高速公路改造工程九所至八所及邦溪至白马井段项目</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firstLine="42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4,750.00</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513.43</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5,263.43</w:t>
            </w:r>
          </w:p>
        </w:tc>
      </w:tr>
      <w:tr>
        <w:tblPrEx>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海南中线屯昌至琼中段</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2,770.00</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964.67</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3,734.67</w:t>
            </w:r>
          </w:p>
        </w:tc>
      </w:tr>
      <w:tr>
        <w:tblPrEx>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2016年专项置换债券（十年期）</w:t>
            </w:r>
          </w:p>
        </w:tc>
        <w:tc>
          <w:tcPr>
            <w:tcW w:w="15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907.20</w:t>
            </w:r>
          </w:p>
        </w:tc>
        <w:tc>
          <w:tcPr>
            <w:tcW w:w="1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907.20</w:t>
            </w:r>
          </w:p>
        </w:tc>
      </w:tr>
    </w:tbl>
    <w:p>
      <w:pPr>
        <w:pStyle w:val="17"/>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3）第三季度高速公路建设需偿还本息21,079,794.06元，均已完成支付，其中：其中用于偿还东线高速日元贷款（C21）本金共5,191,257.00元，支付海南中线屯昌至琼中段、环岛高速公路改造工程九所至八所及邦溪至白马井段等项目利息共15,888,537.06元。具体如下表：</w:t>
      </w:r>
    </w:p>
    <w:p>
      <w:pPr>
        <w:pStyle w:val="17"/>
        <w:ind w:left="0" w:leftChars="0" w:firstLine="0" w:firstLineChars="0"/>
        <w:jc w:val="center"/>
        <w:rPr>
          <w:rFonts w:hint="eastAsia" w:ascii="仿宋_GB2312" w:hAnsi="仿宋_GB2312" w:eastAsia="仿宋_GB2312" w:cs="仿宋_GB2312"/>
          <w:color w:val="auto"/>
        </w:rPr>
      </w:pPr>
      <w:r>
        <w:rPr>
          <w:rFonts w:hint="eastAsia" w:ascii="仿宋_GB2312" w:hAnsi="仿宋_GB2312" w:eastAsia="仿宋_GB2312" w:cs="仿宋_GB2312"/>
          <w:b/>
          <w:bCs/>
          <w:color w:val="auto"/>
          <w:sz w:val="28"/>
          <w:szCs w:val="28"/>
        </w:rPr>
        <w:t>高速公路建设偿债第三季度还本付息情况表</w:t>
      </w:r>
    </w:p>
    <w:tbl>
      <w:tblPr>
        <w:tblStyle w:val="18"/>
        <w:tblW w:w="4998" w:type="pct"/>
        <w:tblInd w:w="0" w:type="dxa"/>
        <w:tblLayout w:type="fixed"/>
        <w:tblCellMar>
          <w:top w:w="0" w:type="dxa"/>
          <w:left w:w="108" w:type="dxa"/>
          <w:bottom w:w="0" w:type="dxa"/>
          <w:right w:w="108" w:type="dxa"/>
        </w:tblCellMar>
      </w:tblPr>
      <w:tblGrid>
        <w:gridCol w:w="526"/>
        <w:gridCol w:w="3505"/>
        <w:gridCol w:w="1470"/>
        <w:gridCol w:w="1629"/>
        <w:gridCol w:w="1389"/>
      </w:tblGrid>
      <w:tr>
        <w:tblPrEx>
          <w:tblCellMar>
            <w:top w:w="0" w:type="dxa"/>
            <w:left w:w="108" w:type="dxa"/>
            <w:bottom w:w="0" w:type="dxa"/>
            <w:right w:w="108" w:type="dxa"/>
          </w:tblCellMar>
        </w:tblPrEx>
        <w:trPr>
          <w:trHeight w:val="23" w:hRule="atLeast"/>
          <w:tblHeader/>
        </w:trPr>
        <w:tc>
          <w:tcPr>
            <w:tcW w:w="309" w:type="pct"/>
            <w:vMerge w:val="restart"/>
            <w:tcBorders>
              <w:top w:val="single" w:color="000000" w:sz="4" w:space="0"/>
              <w:left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序号</w:t>
            </w:r>
          </w:p>
        </w:tc>
        <w:tc>
          <w:tcPr>
            <w:tcW w:w="2057" w:type="pct"/>
            <w:vMerge w:val="restart"/>
            <w:tcBorders>
              <w:top w:val="single" w:color="000000" w:sz="4" w:space="0"/>
              <w:left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项目名称</w:t>
            </w:r>
          </w:p>
        </w:tc>
        <w:tc>
          <w:tcPr>
            <w:tcW w:w="263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第三季度（万元）</w:t>
            </w:r>
          </w:p>
        </w:tc>
      </w:tr>
      <w:tr>
        <w:tblPrEx>
          <w:tblCellMar>
            <w:top w:w="0" w:type="dxa"/>
            <w:left w:w="108" w:type="dxa"/>
            <w:bottom w:w="0" w:type="dxa"/>
            <w:right w:w="108" w:type="dxa"/>
          </w:tblCellMar>
        </w:tblPrEx>
        <w:trPr>
          <w:trHeight w:val="23" w:hRule="atLeast"/>
          <w:tblHeader/>
        </w:trPr>
        <w:tc>
          <w:tcPr>
            <w:tcW w:w="309"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440" w:lineRule="exact"/>
              <w:ind w:firstLine="422"/>
              <w:jc w:val="center"/>
              <w:textAlignment w:val="center"/>
              <w:rPr>
                <w:rFonts w:hint="eastAsia" w:ascii="仿宋_GB2312" w:hAnsi="仿宋_GB2312" w:eastAsia="仿宋_GB2312" w:cs="仿宋_GB2312"/>
                <w:b/>
                <w:bCs/>
                <w:color w:val="auto"/>
                <w:kern w:val="0"/>
                <w:sz w:val="21"/>
                <w:szCs w:val="21"/>
                <w:lang w:bidi="ar"/>
              </w:rPr>
            </w:pPr>
          </w:p>
        </w:tc>
        <w:tc>
          <w:tcPr>
            <w:tcW w:w="2057"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440" w:lineRule="exact"/>
              <w:ind w:firstLine="422"/>
              <w:jc w:val="center"/>
              <w:textAlignment w:val="center"/>
              <w:rPr>
                <w:rFonts w:hint="eastAsia" w:ascii="仿宋_GB2312" w:hAnsi="仿宋_GB2312" w:eastAsia="仿宋_GB2312" w:cs="仿宋_GB2312"/>
                <w:b/>
                <w:bCs/>
                <w:color w:val="auto"/>
                <w:kern w:val="0"/>
                <w:sz w:val="21"/>
                <w:szCs w:val="21"/>
                <w:lang w:bidi="ar"/>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应还本金</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应付利息</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小计</w:t>
            </w:r>
          </w:p>
        </w:tc>
      </w:tr>
      <w:tr>
        <w:tblPrEx>
          <w:tblCellMar>
            <w:top w:w="0" w:type="dxa"/>
            <w:left w:w="108" w:type="dxa"/>
            <w:bottom w:w="0" w:type="dxa"/>
            <w:right w:w="108" w:type="dxa"/>
          </w:tblCellMar>
        </w:tblPrEx>
        <w:trPr>
          <w:trHeight w:val="23" w:hRule="atLeast"/>
        </w:trPr>
        <w:tc>
          <w:tcPr>
            <w:tcW w:w="23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合计</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519.13</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1,588.85</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sz w:val="21"/>
                <w:szCs w:val="21"/>
              </w:rPr>
              <w:t>2,107.98</w:t>
            </w:r>
          </w:p>
        </w:tc>
      </w:tr>
      <w:tr>
        <w:tblPrEx>
          <w:tblCellMar>
            <w:top w:w="0" w:type="dxa"/>
            <w:left w:w="108" w:type="dxa"/>
            <w:bottom w:w="0" w:type="dxa"/>
            <w:right w:w="108" w:type="dxa"/>
          </w:tblCellMar>
        </w:tblPrEx>
        <w:trPr>
          <w:trHeight w:val="23" w:hRule="atLeast"/>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1</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海口至洋浦1小时交通圈</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57.43</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57.43</w:t>
            </w:r>
          </w:p>
        </w:tc>
      </w:tr>
      <w:tr>
        <w:tblPrEx>
          <w:tblCellMar>
            <w:top w:w="0" w:type="dxa"/>
            <w:left w:w="108" w:type="dxa"/>
            <w:bottom w:w="0" w:type="dxa"/>
            <w:right w:w="108" w:type="dxa"/>
          </w:tblCellMar>
        </w:tblPrEx>
        <w:trPr>
          <w:trHeight w:val="23" w:hRule="atLeast"/>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2</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海口至文昌高速公路改建</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42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30.59</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30.59</w:t>
            </w:r>
          </w:p>
        </w:tc>
      </w:tr>
      <w:tr>
        <w:tblPrEx>
          <w:tblCellMar>
            <w:top w:w="0" w:type="dxa"/>
            <w:left w:w="108" w:type="dxa"/>
            <w:bottom w:w="0" w:type="dxa"/>
            <w:right w:w="108" w:type="dxa"/>
          </w:tblCellMar>
        </w:tblPrEx>
        <w:trPr>
          <w:trHeight w:val="23" w:hRule="atLeast"/>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3</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环岛高速公路改造工程九所至八所及邦溪至白马井段项目</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478.20</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478.20</w:t>
            </w:r>
          </w:p>
        </w:tc>
      </w:tr>
      <w:tr>
        <w:tblPrEx>
          <w:tblCellMar>
            <w:top w:w="0" w:type="dxa"/>
            <w:left w:w="108" w:type="dxa"/>
            <w:bottom w:w="0" w:type="dxa"/>
            <w:right w:w="108" w:type="dxa"/>
          </w:tblCellMar>
        </w:tblPrEx>
        <w:trPr>
          <w:trHeight w:val="23" w:hRule="atLeast"/>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4</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海南中线屯昌至琼中段</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944.12</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944.12</w:t>
            </w:r>
          </w:p>
        </w:tc>
      </w:tr>
      <w:tr>
        <w:tblPrEx>
          <w:tblCellMar>
            <w:top w:w="0" w:type="dxa"/>
            <w:left w:w="108" w:type="dxa"/>
            <w:bottom w:w="0" w:type="dxa"/>
            <w:right w:w="108" w:type="dxa"/>
          </w:tblCellMar>
        </w:tblPrEx>
        <w:trPr>
          <w:trHeight w:val="23" w:hRule="atLeast"/>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5</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40" w:lineRule="exact"/>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东线高速日元贷款（C21）</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519.13</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78.51</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597.64</w:t>
            </w:r>
          </w:p>
        </w:tc>
      </w:tr>
    </w:tbl>
    <w:p>
      <w:pPr>
        <w:pStyle w:val="17"/>
        <w:ind w:left="0" w:leftChars="0"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4）第四季度高速公路建设需偿还本息119,017,538.34元，均已完成支付。其中：其中用于偿还海口至文昌高速公路改建项目、环岛高速公路改造工程九所至八所及邦溪至白马井段项目、海南中线屯昌至琼中段项目本金共77,700,000.00元，支付海南中线屯昌至琼中段、2021年再融资专项债券（七年期）等项目利息共41,317,538.34元。具体如下表：</w:t>
      </w:r>
    </w:p>
    <w:p>
      <w:pPr>
        <w:pStyle w:val="17"/>
        <w:ind w:left="0" w:leftChars="0" w:firstLine="0" w:firstLineChars="0"/>
        <w:jc w:val="center"/>
        <w:rPr>
          <w:rFonts w:hint="eastAsia" w:ascii="仿宋_GB2312" w:hAnsi="仿宋_GB2312" w:eastAsia="仿宋_GB2312" w:cs="仿宋_GB2312"/>
          <w:color w:val="auto"/>
        </w:rPr>
      </w:pPr>
      <w:r>
        <w:rPr>
          <w:rFonts w:hint="eastAsia" w:ascii="仿宋_GB2312" w:hAnsi="仿宋_GB2312" w:eastAsia="仿宋_GB2312" w:cs="仿宋_GB2312"/>
          <w:b/>
          <w:bCs/>
          <w:color w:val="auto"/>
          <w:sz w:val="28"/>
          <w:szCs w:val="28"/>
        </w:rPr>
        <w:t>高速公路建设偿债第四季度还本付息情况表</w:t>
      </w:r>
    </w:p>
    <w:tbl>
      <w:tblPr>
        <w:tblStyle w:val="18"/>
        <w:tblW w:w="4998" w:type="pct"/>
        <w:tblInd w:w="0" w:type="dxa"/>
        <w:tblLayout w:type="autofit"/>
        <w:tblCellMar>
          <w:top w:w="0" w:type="dxa"/>
          <w:left w:w="108" w:type="dxa"/>
          <w:bottom w:w="0" w:type="dxa"/>
          <w:right w:w="108" w:type="dxa"/>
        </w:tblCellMar>
      </w:tblPr>
      <w:tblGrid>
        <w:gridCol w:w="446"/>
        <w:gridCol w:w="3704"/>
        <w:gridCol w:w="1428"/>
        <w:gridCol w:w="1489"/>
        <w:gridCol w:w="1452"/>
      </w:tblGrid>
      <w:tr>
        <w:tblPrEx>
          <w:tblCellMar>
            <w:top w:w="0" w:type="dxa"/>
            <w:left w:w="108" w:type="dxa"/>
            <w:bottom w:w="0" w:type="dxa"/>
            <w:right w:w="108" w:type="dxa"/>
          </w:tblCellMar>
        </w:tblPrEx>
        <w:trPr>
          <w:trHeight w:val="23" w:hRule="atLeast"/>
          <w:tblHeader/>
        </w:trPr>
        <w:tc>
          <w:tcPr>
            <w:tcW w:w="262"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序号</w:t>
            </w:r>
          </w:p>
        </w:tc>
        <w:tc>
          <w:tcPr>
            <w:tcW w:w="2174"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项目名称</w:t>
            </w:r>
          </w:p>
        </w:tc>
        <w:tc>
          <w:tcPr>
            <w:tcW w:w="256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第四季度（万元）</w:t>
            </w:r>
          </w:p>
        </w:tc>
      </w:tr>
      <w:tr>
        <w:tblPrEx>
          <w:tblCellMar>
            <w:top w:w="0" w:type="dxa"/>
            <w:left w:w="108" w:type="dxa"/>
            <w:bottom w:w="0" w:type="dxa"/>
            <w:right w:w="108" w:type="dxa"/>
          </w:tblCellMar>
        </w:tblPrEx>
        <w:trPr>
          <w:trHeight w:val="23" w:hRule="atLeast"/>
          <w:tblHeader/>
        </w:trPr>
        <w:tc>
          <w:tcPr>
            <w:tcW w:w="262" w:type="pct"/>
            <w:vMerge w:val="continue"/>
            <w:tcBorders>
              <w:left w:val="single" w:color="000000" w:sz="4" w:space="0"/>
              <w:bottom w:val="single" w:color="000000" w:sz="4" w:space="0"/>
              <w:right w:val="single" w:color="000000" w:sz="4" w:space="0"/>
            </w:tcBorders>
            <w:shd w:val="clear" w:color="auto" w:fill="auto"/>
            <w:vAlign w:val="center"/>
          </w:tcPr>
          <w:p>
            <w:pPr>
              <w:widowControl/>
              <w:ind w:firstLine="422"/>
              <w:jc w:val="center"/>
              <w:textAlignment w:val="center"/>
              <w:rPr>
                <w:rFonts w:hint="eastAsia" w:ascii="仿宋_GB2312" w:hAnsi="仿宋_GB2312" w:eastAsia="仿宋_GB2312" w:cs="仿宋_GB2312"/>
                <w:b/>
                <w:bCs/>
                <w:color w:val="auto"/>
                <w:kern w:val="0"/>
                <w:sz w:val="21"/>
                <w:szCs w:val="21"/>
                <w:lang w:bidi="ar"/>
              </w:rPr>
            </w:pPr>
          </w:p>
        </w:tc>
        <w:tc>
          <w:tcPr>
            <w:tcW w:w="2174" w:type="pct"/>
            <w:vMerge w:val="continue"/>
            <w:tcBorders>
              <w:left w:val="single" w:color="000000" w:sz="4" w:space="0"/>
              <w:bottom w:val="single" w:color="000000" w:sz="4" w:space="0"/>
              <w:right w:val="single" w:color="000000" w:sz="4" w:space="0"/>
            </w:tcBorders>
            <w:shd w:val="clear" w:color="auto" w:fill="auto"/>
            <w:vAlign w:val="center"/>
          </w:tcPr>
          <w:p>
            <w:pPr>
              <w:widowControl/>
              <w:ind w:firstLine="422"/>
              <w:jc w:val="center"/>
              <w:textAlignment w:val="center"/>
              <w:rPr>
                <w:rFonts w:hint="eastAsia" w:ascii="仿宋_GB2312" w:hAnsi="仿宋_GB2312" w:eastAsia="仿宋_GB2312" w:cs="仿宋_GB2312"/>
                <w:b/>
                <w:bCs/>
                <w:color w:val="auto"/>
                <w:kern w:val="0"/>
                <w:sz w:val="21"/>
                <w:szCs w:val="21"/>
                <w:lang w:bidi="ar"/>
              </w:rPr>
            </w:pP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应还本金</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应付利息</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kern w:val="0"/>
                <w:sz w:val="21"/>
                <w:szCs w:val="21"/>
                <w:lang w:bidi="ar"/>
              </w:rPr>
              <w:t>小计</w:t>
            </w:r>
          </w:p>
        </w:tc>
      </w:tr>
      <w:tr>
        <w:tblPrEx>
          <w:tblCellMar>
            <w:top w:w="0" w:type="dxa"/>
            <w:left w:w="108" w:type="dxa"/>
            <w:bottom w:w="0" w:type="dxa"/>
            <w:right w:w="108" w:type="dxa"/>
          </w:tblCellMar>
        </w:tblPrEx>
        <w:trPr>
          <w:trHeight w:val="23" w:hRule="atLeast"/>
        </w:trPr>
        <w:tc>
          <w:tcPr>
            <w:tcW w:w="24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b/>
                <w:bCs/>
                <w:color w:val="auto"/>
                <w:kern w:val="0"/>
                <w:sz w:val="21"/>
                <w:szCs w:val="21"/>
                <w:lang w:bidi="ar"/>
              </w:rPr>
              <w:t>合计</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color w:val="auto"/>
                <w:sz w:val="21"/>
                <w:szCs w:val="21"/>
              </w:rPr>
              <w:t>7,770.00</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color w:val="auto"/>
                <w:sz w:val="21"/>
                <w:szCs w:val="21"/>
              </w:rPr>
              <w:t>4,131.75</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b/>
                <w:bCs/>
                <w:color w:val="auto"/>
                <w:kern w:val="0"/>
                <w:sz w:val="21"/>
                <w:szCs w:val="21"/>
                <w:lang w:bidi="ar"/>
              </w:rPr>
            </w:pPr>
            <w:r>
              <w:rPr>
                <w:rFonts w:hint="eastAsia" w:ascii="仿宋_GB2312" w:hAnsi="仿宋_GB2312" w:eastAsia="仿宋_GB2312" w:cs="仿宋_GB2312"/>
                <w:color w:val="auto"/>
                <w:sz w:val="21"/>
                <w:szCs w:val="21"/>
              </w:rPr>
              <w:t>11,901.75</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1</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海口至洋浦1小时交通圈</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56.81</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56.81</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2</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海口至文昌高速公路改建</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250.00</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29.30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279.30</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3</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环岛高速公路改造工程九所至八所及邦溪至白马井段项目</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4,750.00</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454.80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5,204.80</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4</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海南中线屯昌至琼中段</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2,770.00</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923.25</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3,693.25</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5</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2021年再融资专项债券（七年期）</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1,760.40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1,760.40</w:t>
            </w:r>
          </w:p>
        </w:tc>
      </w:tr>
      <w:tr>
        <w:tblPrEx>
          <w:tblCellMar>
            <w:top w:w="0" w:type="dxa"/>
            <w:left w:w="108" w:type="dxa"/>
            <w:bottom w:w="0" w:type="dxa"/>
            <w:right w:w="108" w:type="dxa"/>
          </w:tblCellMar>
        </w:tblPrEx>
        <w:trPr>
          <w:trHeight w:val="23"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6</w:t>
            </w:r>
          </w:p>
        </w:tc>
        <w:tc>
          <w:tcPr>
            <w:tcW w:w="2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2016年专项置换债券（十年期）</w:t>
            </w:r>
          </w:p>
        </w:tc>
        <w:tc>
          <w:tcPr>
            <w:tcW w:w="838"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jc w:val="right"/>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w:t>
            </w:r>
          </w:p>
        </w:tc>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sz w:val="21"/>
                <w:szCs w:val="21"/>
              </w:rPr>
              <w:t>907.20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right"/>
              <w:textAlignment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b/>
                <w:bCs/>
                <w:color w:val="auto"/>
                <w:sz w:val="21"/>
                <w:szCs w:val="21"/>
              </w:rPr>
              <w:t>907.20</w:t>
            </w:r>
          </w:p>
        </w:tc>
      </w:tr>
    </w:tbl>
    <w:p>
      <w:pPr>
        <w:ind w:firstLine="643"/>
        <w:outlineLvl w:val="2"/>
        <w:rPr>
          <w:rFonts w:hint="eastAsia" w:ascii="仿宋_GB2312" w:hAnsi="仿宋_GB2312" w:eastAsia="仿宋_GB2312" w:cs="仿宋_GB2312"/>
          <w:b/>
          <w:bCs/>
          <w:color w:val="auto"/>
        </w:rPr>
      </w:pPr>
      <w:bookmarkStart w:id="200" w:name="_Toc196493449"/>
      <w:bookmarkStart w:id="201" w:name="_Toc196493831"/>
      <w:bookmarkStart w:id="202" w:name="_Hlk196643926"/>
      <w:bookmarkStart w:id="203" w:name="_Toc13356"/>
      <w:bookmarkStart w:id="204" w:name="_Toc4919"/>
      <w:bookmarkStart w:id="205" w:name="_Toc25551"/>
      <w:bookmarkStart w:id="206" w:name="_Toc15109"/>
      <w:bookmarkStart w:id="207" w:name="_Toc19059"/>
      <w:r>
        <w:rPr>
          <w:rFonts w:hint="eastAsia" w:ascii="仿宋_GB2312" w:hAnsi="仿宋_GB2312" w:eastAsia="仿宋_GB2312" w:cs="仿宋_GB2312"/>
          <w:b/>
          <w:bCs/>
          <w:color w:val="auto"/>
        </w:rPr>
        <w:t>4.3.2偿债资金使用合规</w:t>
      </w:r>
      <w:bookmarkEnd w:id="200"/>
      <w:bookmarkEnd w:id="201"/>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考察偿债资金使用是否合规。</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偿还资金使用符合资金使用要求。</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达到目标值得满分，否则不得分。</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项目资金用于偿还高速公路建设本息，偿还资金符合使用要求。</w:t>
      </w:r>
    </w:p>
    <w:bookmarkEnd w:id="202"/>
    <w:p>
      <w:pPr>
        <w:ind w:firstLine="643"/>
        <w:outlineLvl w:val="2"/>
        <w:rPr>
          <w:rFonts w:hint="eastAsia" w:ascii="仿宋_GB2312" w:hAnsi="仿宋_GB2312" w:eastAsia="仿宋_GB2312" w:cs="仿宋_GB2312"/>
          <w:b/>
          <w:bCs/>
          <w:color w:val="auto"/>
        </w:rPr>
      </w:pPr>
      <w:bookmarkStart w:id="208" w:name="_Toc196493450"/>
      <w:bookmarkStart w:id="209" w:name="_Toc196493832"/>
      <w:r>
        <w:rPr>
          <w:rFonts w:hint="eastAsia" w:ascii="仿宋_GB2312" w:hAnsi="仿宋_GB2312" w:eastAsia="仿宋_GB2312" w:cs="仿宋_GB2312"/>
          <w:b/>
          <w:bCs/>
          <w:color w:val="auto"/>
        </w:rPr>
        <w:t>4.3.</w:t>
      </w:r>
      <w:bookmarkEnd w:id="203"/>
      <w:bookmarkEnd w:id="204"/>
      <w:bookmarkEnd w:id="205"/>
      <w:bookmarkEnd w:id="206"/>
      <w:bookmarkEnd w:id="207"/>
      <w:r>
        <w:rPr>
          <w:rFonts w:hint="eastAsia" w:ascii="仿宋_GB2312" w:hAnsi="仿宋_GB2312" w:eastAsia="仿宋_GB2312" w:cs="仿宋_GB2312"/>
          <w:b/>
          <w:bCs/>
          <w:color w:val="auto"/>
        </w:rPr>
        <w:t>3按期偿债及时率</w:t>
      </w:r>
      <w:bookmarkEnd w:id="208"/>
      <w:bookmarkEnd w:id="209"/>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考察是否按计划及时还款。</w:t>
      </w:r>
    </w:p>
    <w:p>
      <w:pPr>
        <w:ind w:firstLine="643"/>
        <w:rPr>
          <w:rFonts w:hint="eastAsia" w:ascii="仿宋_GB2312" w:hAnsi="仿宋_GB2312" w:eastAsia="仿宋_GB2312" w:cs="仿宋_GB2312"/>
          <w:b/>
          <w:bCs/>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业绩值=实际还款日期/应还款日期*100%。</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≥95%得满分权重分，每下降1%扣1%权重分，直至零分。</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color w:val="auto"/>
        </w:rPr>
        <w:t>根据项目执行情况表、海南省交通投资控股有限公司四个季度偿债资金的请示，第一季度高速公路建设本息实际支付日期为</w:t>
      </w:r>
      <w:bookmarkStart w:id="210" w:name="OLE_LINK2"/>
      <w:r>
        <w:rPr>
          <w:rFonts w:hint="eastAsia" w:ascii="仿宋_GB2312" w:hAnsi="仿宋_GB2312" w:eastAsia="仿宋_GB2312" w:cs="仿宋_GB2312"/>
          <w:color w:val="auto"/>
        </w:rPr>
        <w:t>2024年3月12日</w:t>
      </w:r>
      <w:bookmarkEnd w:id="210"/>
      <w:r>
        <w:rPr>
          <w:rFonts w:hint="eastAsia" w:ascii="仿宋_GB2312" w:hAnsi="仿宋_GB2312" w:eastAsia="仿宋_GB2312" w:cs="仿宋_GB2312"/>
          <w:color w:val="auto"/>
        </w:rPr>
        <w:t>，其中归还东线高速日元贷款（C21）本息晚于日本进出口银行要求还本付息日2024年3月10日两天，银行实际计息日至2024年3月20日，不作为逾期还款；第二季度高速公路建设本息实际支付日期为2024年5月15日；第三季度高速公路建设本息实际支付日期为2024年9月10日；第四季度高速公路建设本息实际支付日期为2024年10月24日。2024年高速公路建设偿债均按规定时间完成支付，还款及时率为99%，该指标得满分。具体如下表：</w:t>
      </w:r>
    </w:p>
    <w:p>
      <w:pPr>
        <w:pStyle w:val="2"/>
        <w:ind w:firstLine="0" w:firstLineChars="0"/>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还款及时情况表</w:t>
      </w:r>
    </w:p>
    <w:tbl>
      <w:tblPr>
        <w:tblStyle w:val="18"/>
        <w:tblW w:w="5291" w:type="pct"/>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690"/>
        <w:gridCol w:w="1591"/>
        <w:gridCol w:w="1697"/>
        <w:gridCol w:w="2321"/>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vMerge w:val="restar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季度</w:t>
            </w:r>
          </w:p>
        </w:tc>
        <w:tc>
          <w:tcPr>
            <w:tcW w:w="2760" w:type="pct"/>
            <w:gridSpan w:val="3"/>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支出金额（元）</w:t>
            </w:r>
          </w:p>
        </w:tc>
        <w:tc>
          <w:tcPr>
            <w:tcW w:w="1287" w:type="pct"/>
            <w:vMerge w:val="restart"/>
            <w:shd w:val="clear" w:color="auto" w:fill="auto"/>
            <w:noWrap/>
            <w:vAlign w:val="center"/>
          </w:tcPr>
          <w:p>
            <w:pPr>
              <w:widowControl/>
              <w:adjustRightInd w:val="0"/>
              <w:snapToGrid w:val="0"/>
              <w:spacing w:line="240" w:lineRule="auto"/>
              <w:ind w:firstLine="0" w:firstLineChars="0"/>
              <w:jc w:val="center"/>
              <w:textAlignment w:val="bottom"/>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应支付日期</w:t>
            </w:r>
          </w:p>
        </w:tc>
        <w:tc>
          <w:tcPr>
            <w:tcW w:w="530" w:type="pct"/>
            <w:vMerge w:val="restart"/>
            <w:shd w:val="clear" w:color="auto" w:fill="auto"/>
            <w:noWrap/>
            <w:vAlign w:val="center"/>
          </w:tcPr>
          <w:p>
            <w:pPr>
              <w:widowControl/>
              <w:adjustRightInd w:val="0"/>
              <w:snapToGrid w:val="0"/>
              <w:spacing w:line="240" w:lineRule="auto"/>
              <w:ind w:firstLine="0" w:firstLineChars="0"/>
              <w:jc w:val="center"/>
              <w:textAlignment w:val="bottom"/>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实际支付日期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vMerge w:val="continue"/>
            <w:shd w:val="clear" w:color="auto" w:fill="auto"/>
            <w:noWrap/>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sz w:val="21"/>
                <w:szCs w:val="21"/>
              </w:rPr>
            </w:pPr>
          </w:p>
        </w:tc>
        <w:tc>
          <w:tcPr>
            <w:tcW w:w="937"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本金</w:t>
            </w:r>
          </w:p>
        </w:tc>
        <w:tc>
          <w:tcPr>
            <w:tcW w:w="882"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利息</w:t>
            </w:r>
          </w:p>
        </w:tc>
        <w:tc>
          <w:tcPr>
            <w:tcW w:w="941"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小计</w:t>
            </w:r>
          </w:p>
        </w:tc>
        <w:tc>
          <w:tcPr>
            <w:tcW w:w="1287" w:type="pct"/>
            <w:vMerge w:val="continue"/>
            <w:shd w:val="clear" w:color="auto" w:fill="auto"/>
            <w:noWrap/>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sz w:val="21"/>
                <w:szCs w:val="21"/>
              </w:rPr>
            </w:pPr>
          </w:p>
        </w:tc>
        <w:tc>
          <w:tcPr>
            <w:tcW w:w="530" w:type="pct"/>
            <w:vMerge w:val="continue"/>
            <w:shd w:val="clear" w:color="auto" w:fill="auto"/>
            <w:noWrap/>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shd w:val="clear" w:color="auto" w:fill="auto"/>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第一季度</w:t>
            </w:r>
          </w:p>
        </w:tc>
        <w:tc>
          <w:tcPr>
            <w:tcW w:w="937" w:type="pct"/>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5,391,257.00</w:t>
            </w:r>
          </w:p>
        </w:tc>
        <w:tc>
          <w:tcPr>
            <w:tcW w:w="882"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16,654,565.61</w:t>
            </w:r>
          </w:p>
        </w:tc>
        <w:tc>
          <w:tcPr>
            <w:tcW w:w="941"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22,045,822.61</w:t>
            </w:r>
          </w:p>
        </w:tc>
        <w:tc>
          <w:tcPr>
            <w:tcW w:w="1287" w:type="pct"/>
            <w:shd w:val="clear" w:color="auto" w:fill="auto"/>
            <w:noWrap/>
            <w:vAlign w:val="center"/>
          </w:tcPr>
          <w:p>
            <w:pPr>
              <w:widowControl/>
              <w:adjustRightInd w:val="0"/>
              <w:snapToGrid w:val="0"/>
              <w:spacing w:line="240" w:lineRule="auto"/>
              <w:ind w:firstLine="0" w:firstLineChars="0"/>
              <w:jc w:val="left"/>
              <w:textAlignment w:val="bottom"/>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国开行：3月18日前归还利息</w:t>
            </w:r>
          </w:p>
          <w:p>
            <w:pPr>
              <w:pStyle w:val="2"/>
              <w:adjustRightInd w:val="0"/>
              <w:snapToGrid w:val="0"/>
              <w:spacing w:line="240" w:lineRule="auto"/>
              <w:ind w:firstLine="0" w:firstLineChars="0"/>
              <w:jc w:val="left"/>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color w:val="auto"/>
                <w:kern w:val="0"/>
                <w:sz w:val="21"/>
                <w:szCs w:val="21"/>
                <w:lang w:bidi="ar"/>
              </w:rPr>
              <w:t>日本进出口银行：3月10日前归还本金</w:t>
            </w:r>
          </w:p>
        </w:tc>
        <w:tc>
          <w:tcPr>
            <w:tcW w:w="530"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2024/3/12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shd w:val="clear" w:color="auto" w:fill="auto"/>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第二季度</w:t>
            </w:r>
          </w:p>
        </w:tc>
        <w:tc>
          <w:tcPr>
            <w:tcW w:w="937" w:type="pct"/>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77,700,000.00</w:t>
            </w:r>
          </w:p>
        </w:tc>
        <w:tc>
          <w:tcPr>
            <w:tcW w:w="882"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24,751,723.33</w:t>
            </w:r>
          </w:p>
        </w:tc>
        <w:tc>
          <w:tcPr>
            <w:tcW w:w="941"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102,451,723.33</w:t>
            </w:r>
          </w:p>
        </w:tc>
        <w:tc>
          <w:tcPr>
            <w:tcW w:w="1287" w:type="pct"/>
            <w:shd w:val="clear" w:color="auto" w:fill="auto"/>
            <w:noWrap/>
            <w:vAlign w:val="center"/>
          </w:tcPr>
          <w:p>
            <w:pPr>
              <w:widowControl/>
              <w:adjustRightInd w:val="0"/>
              <w:snapToGrid w:val="0"/>
              <w:spacing w:line="240" w:lineRule="auto"/>
              <w:ind w:firstLine="0" w:firstLineChars="0"/>
              <w:jc w:val="left"/>
              <w:textAlignment w:val="bottom"/>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国开行：5月20日前归还本金、6月18日前归还利息</w:t>
            </w:r>
          </w:p>
          <w:p>
            <w:pPr>
              <w:pStyle w:val="2"/>
              <w:adjustRightInd w:val="0"/>
              <w:snapToGrid w:val="0"/>
              <w:spacing w:line="240" w:lineRule="auto"/>
              <w:ind w:firstLine="0" w:firstLineChars="0"/>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进出口银行：6月21日前归还利息</w:t>
            </w:r>
          </w:p>
        </w:tc>
        <w:tc>
          <w:tcPr>
            <w:tcW w:w="530"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2024/5/15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shd w:val="clear" w:color="auto" w:fill="auto"/>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第三季度</w:t>
            </w:r>
          </w:p>
        </w:tc>
        <w:tc>
          <w:tcPr>
            <w:tcW w:w="937" w:type="pct"/>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5,191,257.00</w:t>
            </w:r>
          </w:p>
        </w:tc>
        <w:tc>
          <w:tcPr>
            <w:tcW w:w="882"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15,888,537.06</w:t>
            </w:r>
          </w:p>
        </w:tc>
        <w:tc>
          <w:tcPr>
            <w:tcW w:w="941"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21,079,794.06</w:t>
            </w:r>
          </w:p>
        </w:tc>
        <w:tc>
          <w:tcPr>
            <w:tcW w:w="1287" w:type="pct"/>
            <w:shd w:val="clear" w:color="auto" w:fill="auto"/>
            <w:noWrap/>
            <w:vAlign w:val="center"/>
          </w:tcPr>
          <w:p>
            <w:pPr>
              <w:widowControl/>
              <w:adjustRightInd w:val="0"/>
              <w:snapToGrid w:val="0"/>
              <w:spacing w:line="240" w:lineRule="auto"/>
              <w:ind w:firstLine="0" w:firstLineChars="0"/>
              <w:jc w:val="left"/>
              <w:textAlignment w:val="bottom"/>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 xml:space="preserve">国开行：9月18日前归还利息 </w:t>
            </w:r>
          </w:p>
          <w:p>
            <w:pPr>
              <w:adjustRightInd w:val="0"/>
              <w:snapToGrid w:val="0"/>
              <w:spacing w:line="240" w:lineRule="auto"/>
              <w:ind w:firstLine="0" w:firstLineChars="0"/>
              <w:jc w:val="left"/>
              <w:rPr>
                <w:rFonts w:hint="eastAsia" w:ascii="仿宋_GB2312" w:hAnsi="仿宋_GB2312" w:cs="仿宋_GB2312"/>
                <w:color w:val="auto"/>
                <w:lang w:bidi="ar"/>
              </w:rPr>
            </w:pPr>
            <w:r>
              <w:rPr>
                <w:rFonts w:hint="eastAsia" w:ascii="仿宋_GB2312" w:hAnsi="仿宋_GB2312" w:eastAsia="仿宋_GB2312" w:cs="仿宋_GB2312"/>
                <w:color w:val="auto"/>
                <w:kern w:val="0"/>
                <w:sz w:val="21"/>
                <w:szCs w:val="21"/>
                <w:lang w:bidi="ar"/>
              </w:rPr>
              <w:t>日本进出口银行：9月10日前归还本金</w:t>
            </w:r>
          </w:p>
        </w:tc>
        <w:tc>
          <w:tcPr>
            <w:tcW w:w="530"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2024/9/10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3" w:type="pct"/>
            <w:shd w:val="clear" w:color="auto" w:fill="auto"/>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bookmarkStart w:id="211" w:name="_Hlk196489403"/>
            <w:r>
              <w:rPr>
                <w:rFonts w:hint="eastAsia" w:ascii="仿宋_GB2312" w:hAnsi="仿宋_GB2312" w:eastAsia="仿宋_GB2312" w:cs="仿宋_GB2312"/>
                <w:color w:val="auto"/>
                <w:kern w:val="0"/>
                <w:sz w:val="21"/>
                <w:szCs w:val="21"/>
                <w:lang w:bidi="ar"/>
              </w:rPr>
              <w:t>第四季度</w:t>
            </w:r>
          </w:p>
        </w:tc>
        <w:tc>
          <w:tcPr>
            <w:tcW w:w="937" w:type="pct"/>
            <w:shd w:val="clear" w:color="auto" w:fill="auto"/>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77,700,000.00</w:t>
            </w:r>
          </w:p>
        </w:tc>
        <w:tc>
          <w:tcPr>
            <w:tcW w:w="882"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41,317,538.34</w:t>
            </w:r>
          </w:p>
        </w:tc>
        <w:tc>
          <w:tcPr>
            <w:tcW w:w="941" w:type="pct"/>
            <w:shd w:val="clear" w:color="auto" w:fill="auto"/>
            <w:noWrap/>
            <w:vAlign w:val="center"/>
          </w:tcPr>
          <w:p>
            <w:pPr>
              <w:widowControl/>
              <w:adjustRightInd w:val="0"/>
              <w:snapToGrid w:val="0"/>
              <w:spacing w:line="240" w:lineRule="auto"/>
              <w:ind w:firstLine="0" w:firstLineChars="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119,017,538.34</w:t>
            </w:r>
          </w:p>
        </w:tc>
        <w:tc>
          <w:tcPr>
            <w:tcW w:w="1287" w:type="pct"/>
            <w:shd w:val="clear" w:color="auto" w:fill="auto"/>
            <w:noWrap/>
            <w:vAlign w:val="center"/>
          </w:tcPr>
          <w:p>
            <w:pPr>
              <w:widowControl/>
              <w:adjustRightInd w:val="0"/>
              <w:snapToGrid w:val="0"/>
              <w:spacing w:line="240" w:lineRule="auto"/>
              <w:ind w:firstLine="0" w:firstLineChars="0"/>
              <w:jc w:val="left"/>
              <w:textAlignment w:val="bottom"/>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国开行：11月20日前归还本金和利息、12月19日前归还利息</w:t>
            </w:r>
          </w:p>
          <w:p>
            <w:pPr>
              <w:widowControl/>
              <w:adjustRightInd w:val="0"/>
              <w:snapToGrid w:val="0"/>
              <w:spacing w:line="240" w:lineRule="auto"/>
              <w:ind w:firstLine="0" w:firstLineChars="0"/>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进出口银行：12月8日前归还本金</w:t>
            </w:r>
          </w:p>
        </w:tc>
        <w:tc>
          <w:tcPr>
            <w:tcW w:w="530" w:type="pct"/>
            <w:shd w:val="clear" w:color="auto" w:fill="auto"/>
            <w:noWrap/>
            <w:vAlign w:val="center"/>
          </w:tcPr>
          <w:p>
            <w:pPr>
              <w:widowControl/>
              <w:adjustRightInd w:val="0"/>
              <w:snapToGrid w:val="0"/>
              <w:spacing w:line="240" w:lineRule="auto"/>
              <w:ind w:firstLine="0" w:firstLineChars="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2024/10/24</w:t>
            </w:r>
          </w:p>
        </w:tc>
      </w:tr>
      <w:bookmarkEnd w:id="211"/>
    </w:tbl>
    <w:p>
      <w:pPr>
        <w:pStyle w:val="7"/>
        <w:numPr>
          <w:ilvl w:val="0"/>
          <w:numId w:val="3"/>
        </w:numPr>
        <w:outlineLvl w:val="1"/>
        <w:rPr>
          <w:rFonts w:hint="eastAsia" w:ascii="楷体_GB2312" w:hAnsi="楷体_GB2312" w:eastAsia="楷体_GB2312" w:cs="楷体_GB2312"/>
          <w:color w:val="auto"/>
        </w:rPr>
      </w:pPr>
      <w:bookmarkStart w:id="212" w:name="_Toc196493833"/>
      <w:bookmarkStart w:id="213" w:name="_Toc196493451"/>
      <w:r>
        <w:rPr>
          <w:rFonts w:hint="eastAsia" w:ascii="楷体_GB2312" w:hAnsi="楷体_GB2312" w:eastAsia="楷体_GB2312" w:cs="楷体_GB2312"/>
          <w:color w:val="auto"/>
        </w:rPr>
        <w:t>项目效益情况</w:t>
      </w:r>
      <w:bookmarkEnd w:id="212"/>
      <w:bookmarkEnd w:id="213"/>
    </w:p>
    <w:p>
      <w:pPr>
        <w:rPr>
          <w:rFonts w:hint="eastAsia" w:ascii="仿宋_GB2312" w:hAnsi="仿宋_GB2312" w:eastAsia="仿宋_GB2312" w:cs="仿宋_GB2312"/>
          <w:color w:val="auto"/>
          <w:lang w:eastAsia="zh-Hans"/>
        </w:rPr>
      </w:pPr>
      <w:r>
        <w:rPr>
          <w:rFonts w:hint="eastAsia" w:ascii="仿宋_GB2312" w:hAnsi="仿宋_GB2312" w:eastAsia="仿宋_GB2312" w:cs="仿宋_GB2312"/>
          <w:color w:val="auto"/>
        </w:rPr>
        <w:t>项目效益指标主要从</w:t>
      </w:r>
      <w:r>
        <w:rPr>
          <w:rFonts w:hint="eastAsia" w:ascii="仿宋_GB2312" w:hAnsi="仿宋_GB2312" w:eastAsia="仿宋_GB2312" w:cs="仿宋_GB2312"/>
          <w:color w:val="auto"/>
          <w:lang w:eastAsia="zh-Hans"/>
        </w:rPr>
        <w:t>经济效益指标</w:t>
      </w:r>
      <w:r>
        <w:rPr>
          <w:rFonts w:hint="eastAsia" w:ascii="仿宋_GB2312" w:hAnsi="仿宋_GB2312" w:eastAsia="仿宋_GB2312" w:cs="仿宋_GB2312"/>
          <w:color w:val="auto"/>
        </w:rPr>
        <w:t>、社会效益指标方面考察。项目效益类指标分值共计30分。本项目实际得分为30分，得分率为100%。各个指标的实际得分情况见下表</w:t>
      </w:r>
      <w:r>
        <w:rPr>
          <w:rFonts w:hint="eastAsia" w:ascii="仿宋_GB2312" w:hAnsi="仿宋_GB2312" w:eastAsia="仿宋_GB2312" w:cs="仿宋_GB2312"/>
          <w:color w:val="auto"/>
          <w:lang w:eastAsia="zh-Hans"/>
        </w:rPr>
        <w:t>：</w:t>
      </w:r>
    </w:p>
    <w:p>
      <w:pPr>
        <w:pStyle w:val="26"/>
        <w:ind w:firstLine="562"/>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效益类指标得分情况表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8"/>
        <w:gridCol w:w="1692"/>
        <w:gridCol w:w="1692"/>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8" w:type="pct"/>
            <w:vAlign w:val="center"/>
          </w:tcPr>
          <w:p>
            <w:pPr>
              <w:ind w:firstLine="0" w:firstLineChars="0"/>
              <w:jc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评价指标</w:t>
            </w:r>
          </w:p>
        </w:tc>
        <w:tc>
          <w:tcPr>
            <w:tcW w:w="993" w:type="pct"/>
            <w:vAlign w:val="center"/>
          </w:tcPr>
          <w:p>
            <w:pPr>
              <w:ind w:firstLine="0" w:firstLineChars="0"/>
              <w:jc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分值</w:t>
            </w:r>
          </w:p>
        </w:tc>
        <w:tc>
          <w:tcPr>
            <w:tcW w:w="993" w:type="pct"/>
            <w:vAlign w:val="center"/>
          </w:tcPr>
          <w:p>
            <w:pPr>
              <w:ind w:firstLine="0" w:firstLineChars="0"/>
              <w:jc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得分</w:t>
            </w:r>
          </w:p>
        </w:tc>
        <w:tc>
          <w:tcPr>
            <w:tcW w:w="996" w:type="pct"/>
            <w:vAlign w:val="center"/>
          </w:tcPr>
          <w:p>
            <w:pPr>
              <w:ind w:firstLine="0" w:firstLineChars="0"/>
              <w:jc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8" w:type="pct"/>
            <w:vAlign w:val="center"/>
          </w:tcPr>
          <w:p>
            <w:pPr>
              <w:ind w:firstLine="0" w:firstLineChars="0"/>
              <w:jc w:val="center"/>
              <w:rPr>
                <w:rFonts w:hint="eastAsia" w:ascii="仿宋_GB2312" w:hAnsi="仿宋_GB2312" w:eastAsia="仿宋_GB2312" w:cs="仿宋_GB2312"/>
                <w:color w:val="auto"/>
                <w:sz w:val="24"/>
              </w:rPr>
            </w:pPr>
            <w:bookmarkStart w:id="214" w:name="OLE_LINK5"/>
            <w:r>
              <w:rPr>
                <w:rFonts w:hint="eastAsia" w:ascii="仿宋_GB2312" w:hAnsi="仿宋_GB2312" w:eastAsia="仿宋_GB2312" w:cs="仿宋_GB2312"/>
                <w:color w:val="auto"/>
                <w:sz w:val="22"/>
                <w:szCs w:val="22"/>
              </w:rPr>
              <w:t>厅机关负债余额</w:t>
            </w:r>
            <w:bookmarkEnd w:id="214"/>
          </w:p>
        </w:tc>
        <w:tc>
          <w:tcPr>
            <w:tcW w:w="993"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993"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15.00</w:t>
            </w:r>
          </w:p>
        </w:tc>
        <w:tc>
          <w:tcPr>
            <w:tcW w:w="996"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8"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道路服务水平</w:t>
            </w:r>
          </w:p>
        </w:tc>
        <w:tc>
          <w:tcPr>
            <w:tcW w:w="993"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993"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15.00</w:t>
            </w:r>
          </w:p>
        </w:tc>
        <w:tc>
          <w:tcPr>
            <w:tcW w:w="996" w:type="pct"/>
            <w:vAlign w:val="center"/>
          </w:tcPr>
          <w:p>
            <w:pPr>
              <w:ind w:firstLine="0" w:firstLine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8"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小计</w:t>
            </w:r>
          </w:p>
        </w:tc>
        <w:tc>
          <w:tcPr>
            <w:tcW w:w="993"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30</w:t>
            </w:r>
          </w:p>
        </w:tc>
        <w:tc>
          <w:tcPr>
            <w:tcW w:w="993"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20.00</w:t>
            </w:r>
          </w:p>
        </w:tc>
        <w:tc>
          <w:tcPr>
            <w:tcW w:w="996" w:type="pct"/>
            <w:vAlign w:val="center"/>
          </w:tcPr>
          <w:p>
            <w:pPr>
              <w:ind w:firstLine="0" w:firstLineChars="0"/>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100.00%</w:t>
            </w:r>
          </w:p>
        </w:tc>
      </w:tr>
    </w:tbl>
    <w:p>
      <w:pPr>
        <w:ind w:firstLine="643"/>
        <w:outlineLvl w:val="2"/>
        <w:rPr>
          <w:rFonts w:hint="eastAsia" w:ascii="仿宋_GB2312" w:hAnsi="仿宋_GB2312" w:eastAsia="仿宋_GB2312" w:cs="仿宋_GB2312"/>
          <w:b/>
          <w:bCs/>
          <w:color w:val="auto"/>
        </w:rPr>
      </w:pPr>
      <w:bookmarkStart w:id="215" w:name="_Toc196493834"/>
      <w:bookmarkStart w:id="216" w:name="_Toc196493452"/>
      <w:bookmarkStart w:id="217" w:name="_Toc28472"/>
      <w:bookmarkStart w:id="218" w:name="_Toc31058"/>
      <w:bookmarkStart w:id="219" w:name="_Toc17630"/>
      <w:bookmarkStart w:id="220" w:name="_Toc23515"/>
      <w:bookmarkStart w:id="221" w:name="_Toc29635"/>
      <w:r>
        <w:rPr>
          <w:rFonts w:hint="eastAsia" w:ascii="仿宋_GB2312" w:hAnsi="仿宋_GB2312" w:eastAsia="仿宋_GB2312" w:cs="仿宋_GB2312"/>
          <w:b/>
          <w:bCs/>
          <w:color w:val="auto"/>
        </w:rPr>
        <w:t>4.4.1厅机关负债余额</w:t>
      </w:r>
      <w:bookmarkEnd w:id="215"/>
      <w:bookmarkEnd w:id="216"/>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考察项目实施后厅机关负债余额情况。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项目实施降低了交通运输厅负债余额。</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达到目标值得满分，否则不得分。</w:t>
      </w:r>
    </w:p>
    <w:p>
      <w:pPr>
        <w:pStyle w:val="2"/>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bookmarkStart w:id="222" w:name="OLE_LINK9"/>
      <w:r>
        <w:rPr>
          <w:rFonts w:hint="eastAsia" w:ascii="仿宋_GB2312" w:hAnsi="仿宋_GB2312" w:eastAsia="仿宋_GB2312" w:cs="仿宋_GB2312"/>
          <w:color w:val="auto"/>
        </w:rPr>
        <w:t>2023年末高速公路建设贷款债务余额为257,328.63万元，2024年实际偿还本金16,</w:t>
      </w:r>
      <w:r>
        <w:rPr>
          <w:rFonts w:hint="eastAsia" w:ascii="仿宋_GB2312" w:hAnsi="仿宋_GB2312" w:eastAsia="仿宋_GB2312" w:cs="仿宋_GB2312"/>
          <w:color w:val="auto"/>
          <w:lang w:val="en-US" w:eastAsia="zh-CN"/>
        </w:rPr>
        <w:t>598.25</w:t>
      </w:r>
      <w:r>
        <w:rPr>
          <w:rFonts w:hint="eastAsia" w:ascii="仿宋_GB2312" w:hAnsi="仿宋_GB2312" w:eastAsia="仿宋_GB2312" w:cs="仿宋_GB2312"/>
          <w:color w:val="auto"/>
        </w:rPr>
        <w:t>万元，2024年末高速公路建设贷款债务余额为240,730.38万元，项目实施降低了海南省交通运输厅负债余额，本指标得满分</w:t>
      </w:r>
      <w:bookmarkEnd w:id="222"/>
      <w:r>
        <w:rPr>
          <w:rFonts w:hint="eastAsia" w:ascii="仿宋_GB2312" w:hAnsi="仿宋_GB2312" w:eastAsia="仿宋_GB2312" w:cs="仿宋_GB2312"/>
          <w:color w:val="auto"/>
        </w:rPr>
        <w:t>。</w:t>
      </w:r>
    </w:p>
    <w:p>
      <w:pPr>
        <w:ind w:firstLine="643"/>
        <w:outlineLvl w:val="2"/>
        <w:rPr>
          <w:rFonts w:hint="eastAsia" w:ascii="仿宋_GB2312" w:hAnsi="仿宋_GB2312" w:eastAsia="仿宋_GB2312" w:cs="仿宋_GB2312"/>
          <w:b/>
          <w:bCs/>
          <w:color w:val="auto"/>
        </w:rPr>
      </w:pPr>
      <w:bookmarkStart w:id="223" w:name="_Toc196493835"/>
      <w:bookmarkStart w:id="224" w:name="_Toc196493453"/>
      <w:bookmarkStart w:id="225" w:name="_Hlk196643906"/>
      <w:r>
        <w:rPr>
          <w:rFonts w:hint="eastAsia" w:ascii="仿宋_GB2312" w:hAnsi="仿宋_GB2312" w:eastAsia="仿宋_GB2312" w:cs="仿宋_GB2312"/>
          <w:b/>
          <w:bCs/>
          <w:color w:val="auto"/>
        </w:rPr>
        <w:t>4.4.2</w:t>
      </w:r>
      <w:bookmarkStart w:id="226" w:name="OLE_LINK6"/>
      <w:r>
        <w:rPr>
          <w:rFonts w:hint="eastAsia" w:ascii="仿宋_GB2312" w:hAnsi="仿宋_GB2312" w:eastAsia="仿宋_GB2312" w:cs="仿宋_GB2312"/>
          <w:b/>
          <w:bCs/>
          <w:color w:val="auto"/>
        </w:rPr>
        <w:t>道路服务水平</w:t>
      </w:r>
      <w:bookmarkEnd w:id="223"/>
      <w:bookmarkEnd w:id="224"/>
      <w:bookmarkEnd w:id="226"/>
      <w:r>
        <w:rPr>
          <w:rFonts w:hint="eastAsia" w:ascii="仿宋_GB2312" w:hAnsi="仿宋_GB2312" w:eastAsia="仿宋_GB2312" w:cs="仿宋_GB2312"/>
          <w:b/>
          <w:bCs/>
          <w:color w:val="auto"/>
        </w:rPr>
        <w:tab/>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指标解释：</w:t>
      </w:r>
      <w:r>
        <w:rPr>
          <w:rFonts w:hint="eastAsia" w:ascii="仿宋_GB2312" w:hAnsi="仿宋_GB2312" w:eastAsia="仿宋_GB2312" w:cs="仿宋_GB2312"/>
          <w:color w:val="auto"/>
        </w:rPr>
        <w:t>考察项目实施后道路服务水平情况。</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评价要点：</w:t>
      </w:r>
      <w:r>
        <w:rPr>
          <w:rFonts w:hint="eastAsia" w:ascii="仿宋_GB2312" w:hAnsi="仿宋_GB2312" w:eastAsia="仿宋_GB2312" w:cs="仿宋_GB2312"/>
          <w:color w:val="auto"/>
        </w:rPr>
        <w:t>项目实施提高了道路服务水平。</w:t>
      </w:r>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评分标准：</w:t>
      </w:r>
      <w:r>
        <w:rPr>
          <w:rFonts w:hint="eastAsia" w:ascii="仿宋_GB2312" w:hAnsi="仿宋_GB2312" w:eastAsia="仿宋_GB2312" w:cs="仿宋_GB2312"/>
          <w:color w:val="auto"/>
        </w:rPr>
        <w:t>达到目标值得满分，否则不得分。</w:t>
      </w:r>
    </w:p>
    <w:p>
      <w:pPr>
        <w:pStyle w:val="2"/>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绩效分析：</w:t>
      </w:r>
      <w:r>
        <w:rPr>
          <w:rFonts w:hint="eastAsia" w:ascii="仿宋_GB2312" w:hAnsi="仿宋_GB2312" w:eastAsia="仿宋_GB2312" w:cs="仿宋_GB2312"/>
          <w:b w:val="0"/>
          <w:bCs w:val="0"/>
          <w:color w:val="auto"/>
          <w:lang w:eastAsia="zh-CN"/>
        </w:rPr>
        <w:t>通过贷款保障公路项目建设资金，海南中线屯昌至琼中段、环岛高速公路改造工程九所至八所及邦溪至白马井段等项目的建设对完善区域路网结构、改善区域交通运输条件、加快沿线经济社会发展具有重要意义，有效提升了我省道路服务水平、公路安全水平、为当地群众出行提供了便利。</w:t>
      </w:r>
      <w:r>
        <w:rPr>
          <w:rFonts w:hint="eastAsia" w:ascii="仿宋_GB2312" w:hAnsi="仿宋_GB2312" w:eastAsia="仿宋_GB2312" w:cs="仿宋_GB2312"/>
          <w:color w:val="auto"/>
        </w:rPr>
        <w:t>本指标得满分。</w:t>
      </w:r>
    </w:p>
    <w:bookmarkEnd w:id="217"/>
    <w:bookmarkEnd w:id="218"/>
    <w:bookmarkEnd w:id="219"/>
    <w:bookmarkEnd w:id="220"/>
    <w:bookmarkEnd w:id="221"/>
    <w:bookmarkEnd w:id="225"/>
    <w:p>
      <w:pPr>
        <w:pStyle w:val="7"/>
        <w:numPr>
          <w:ilvl w:val="0"/>
          <w:numId w:val="5"/>
        </w:numPr>
        <w:ind w:firstLine="643"/>
        <w:outlineLvl w:val="0"/>
        <w:rPr>
          <w:rFonts w:ascii="Times New Roman" w:hAnsi="Times New Roman" w:cs="Times New Roman" w:eastAsiaTheme="minorEastAsia"/>
          <w:b/>
          <w:color w:val="auto"/>
        </w:rPr>
      </w:pPr>
      <w:bookmarkStart w:id="227" w:name="_Toc196493836"/>
      <w:r>
        <w:rPr>
          <w:rFonts w:hint="eastAsia" w:ascii="黑体" w:hAnsi="黑体" w:eastAsia="黑体" w:cs="黑体"/>
          <w:b w:val="0"/>
          <w:bCs/>
          <w:color w:val="auto"/>
        </w:rPr>
        <w:t>主要经验及做法</w:t>
      </w:r>
      <w:bookmarkEnd w:id="227"/>
    </w:p>
    <w:p>
      <w:pPr>
        <w:pStyle w:val="7"/>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szCs w:val="24"/>
        </w:rPr>
        <w:t>1.有效控制成本。</w:t>
      </w:r>
      <w:r>
        <w:rPr>
          <w:rFonts w:hint="eastAsia" w:ascii="仿宋_GB2312" w:hAnsi="仿宋_GB2312" w:eastAsia="仿宋_GB2312" w:cs="仿宋_GB2312"/>
          <w:color w:val="auto"/>
          <w:szCs w:val="24"/>
        </w:rPr>
        <w:t>项目按照预算资金支付进度实现了有效的成本控制。其主要做法是严格按照资金管理规定执行，并通过合理的内控制度控制项目投资。</w:t>
      </w:r>
    </w:p>
    <w:p>
      <w:pPr>
        <w:widowControl/>
        <w:wordWrap w:val="0"/>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2.及时足额还款，避免逾期利息。</w:t>
      </w:r>
      <w:r>
        <w:rPr>
          <w:rFonts w:hint="eastAsia" w:ascii="仿宋_GB2312" w:hAnsi="仿宋_GB2312" w:eastAsia="仿宋_GB2312" w:cs="仿宋_GB2312"/>
          <w:color w:val="auto"/>
        </w:rPr>
        <w:t>海南省交通运输厅在2024年高速公路建设偿债项目上，四个季度的本息均严格按照规定及时足额进行支付，无延迟付款、支付偿债金额不足等情况发生。及时足额还款，体现了诚信履约，避免了逾期利息发生。</w:t>
      </w:r>
    </w:p>
    <w:p>
      <w:pPr>
        <w:pStyle w:val="2"/>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3.执行率高，支付手续完整。</w:t>
      </w:r>
      <w:r>
        <w:rPr>
          <w:rFonts w:hint="eastAsia" w:ascii="仿宋_GB2312" w:hAnsi="仿宋_GB2312" w:eastAsia="仿宋_GB2312" w:cs="仿宋_GB2312"/>
          <w:color w:val="auto"/>
        </w:rPr>
        <w:t>2024年高速公路建设偿债项目实际到位资金26,460.36万元，2024年实际支出26,459.49万元，预算执行率100.00%，项目预算执行率高且项目支出均有完整的审批手续和程序。</w:t>
      </w:r>
    </w:p>
    <w:p>
      <w:pPr>
        <w:pStyle w:val="7"/>
        <w:numPr>
          <w:ilvl w:val="0"/>
          <w:numId w:val="5"/>
        </w:numPr>
        <w:ind w:firstLine="643"/>
        <w:outlineLvl w:val="0"/>
        <w:rPr>
          <w:rFonts w:hint="eastAsia" w:ascii="黑体" w:hAnsi="黑体" w:eastAsia="黑体" w:cs="黑体"/>
          <w:b w:val="0"/>
          <w:bCs/>
          <w:color w:val="auto"/>
        </w:rPr>
      </w:pPr>
      <w:bookmarkStart w:id="228" w:name="_Toc196493837"/>
      <w:r>
        <w:rPr>
          <w:rFonts w:hint="eastAsia" w:ascii="黑体" w:hAnsi="黑体" w:eastAsia="黑体" w:cs="黑体"/>
          <w:b w:val="0"/>
          <w:bCs/>
          <w:color w:val="auto"/>
        </w:rPr>
        <w:t>存在的问题及原因分析</w:t>
      </w:r>
      <w:bookmarkEnd w:id="228"/>
    </w:p>
    <w:p>
      <w:pPr>
        <w:pStyle w:val="7"/>
        <w:ind w:firstLine="643"/>
        <w:rPr>
          <w:rFonts w:hint="eastAsia" w:ascii="仿宋_GB2312" w:hAnsi="仿宋_GB2312" w:eastAsia="仿宋_GB2312" w:cs="仿宋_GB2312"/>
          <w:color w:val="auto"/>
          <w:szCs w:val="24"/>
        </w:rPr>
      </w:pPr>
      <w:r>
        <w:rPr>
          <w:rFonts w:hint="eastAsia" w:ascii="仿宋_GB2312" w:hAnsi="仿宋_GB2312" w:eastAsia="仿宋_GB2312" w:cs="仿宋_GB2312"/>
          <w:b/>
          <w:bCs/>
          <w:color w:val="auto"/>
          <w:szCs w:val="24"/>
        </w:rPr>
        <w:t>1.绩效目标设置不够具体、绩效指标不够完整。</w:t>
      </w:r>
      <w:r>
        <w:rPr>
          <w:rFonts w:hint="eastAsia" w:ascii="仿宋_GB2312" w:hAnsi="仿宋_GB2312" w:eastAsia="仿宋_GB2312" w:cs="仿宋_GB2312"/>
          <w:color w:val="auto"/>
          <w:szCs w:val="24"/>
        </w:rPr>
        <w:t>海南省交通运输厅高速公路建设偿债的项目年度绩效目标为“降低交通负债率”，绩效目标设置过于简单、不够具体，不能体现出预期的产出水平，绩效目标体现不出与预算确定的项目投资额或资金量是否相匹配。</w:t>
      </w:r>
    </w:p>
    <w:p>
      <w:pPr>
        <w:widowControl/>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2.自评工作质量有待进一步提高。</w:t>
      </w:r>
      <w:r>
        <w:rPr>
          <w:rFonts w:hint="eastAsia" w:ascii="仿宋_GB2312" w:hAnsi="仿宋_GB2312" w:eastAsia="仿宋_GB2312" w:cs="仿宋_GB2312"/>
          <w:color w:val="auto"/>
        </w:rPr>
        <w:t>部门所提供的项目支出绩效自评表中年度目标完成情况、实际完成值、自评得分等填写不够充分</w:t>
      </w:r>
      <w:r>
        <w:rPr>
          <w:rFonts w:hint="eastAsia" w:ascii="仿宋_GB2312" w:hAnsi="仿宋_GB2312" w:eastAsia="仿宋_GB2312" w:cs="仿宋_GB2312"/>
          <w:color w:val="auto"/>
          <w:lang w:val="en"/>
        </w:rPr>
        <w:t>，</w:t>
      </w:r>
      <w:r>
        <w:rPr>
          <w:rFonts w:hint="eastAsia" w:ascii="仿宋_GB2312" w:hAnsi="仿宋_GB2312" w:eastAsia="仿宋_GB2312" w:cs="仿宋_GB2312"/>
          <w:color w:val="auto"/>
        </w:rPr>
        <w:t>自评工作质量需进一步提升。</w:t>
      </w:r>
    </w:p>
    <w:p>
      <w:pPr>
        <w:pStyle w:val="7"/>
        <w:numPr>
          <w:ilvl w:val="0"/>
          <w:numId w:val="5"/>
        </w:numPr>
        <w:ind w:firstLine="643"/>
        <w:outlineLvl w:val="0"/>
        <w:rPr>
          <w:rFonts w:hint="eastAsia" w:ascii="黑体" w:hAnsi="黑体" w:eastAsia="黑体" w:cs="黑体"/>
          <w:b w:val="0"/>
          <w:bCs/>
          <w:color w:val="auto"/>
        </w:rPr>
      </w:pPr>
      <w:bookmarkStart w:id="229" w:name="_Toc196493838"/>
      <w:r>
        <w:rPr>
          <w:rFonts w:hint="eastAsia" w:ascii="黑体" w:hAnsi="黑体" w:eastAsia="黑体" w:cs="黑体"/>
          <w:b w:val="0"/>
          <w:bCs/>
          <w:color w:val="auto"/>
        </w:rPr>
        <w:t>有关建议</w:t>
      </w:r>
      <w:bookmarkEnd w:id="229"/>
    </w:p>
    <w:p>
      <w:pPr>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1.合理设置绩效目标，完善绩效指标。</w:t>
      </w:r>
      <w:r>
        <w:rPr>
          <w:rFonts w:hint="eastAsia" w:ascii="仿宋_GB2312" w:hAnsi="仿宋_GB2312" w:eastAsia="仿宋_GB2312" w:cs="仿宋_GB2312"/>
          <w:color w:val="auto"/>
        </w:rPr>
        <w:t>一是预算项目支出绩效目标审核建议从规范完整性、明确清晰性、资金匹配性等方面进行审核。对于绩效目标填报不规范的项目返回补充或修改；对于目标不明晰的项目，返回修改完善，明确清晰的绩效目标应该能够反映项目主要情况，可大致了解此项目的项目内容、预期产出和效果等情况；二是建议按照SMART原则，结合项目内容将项目绩效目标进行细化，指标设置尽可能完整、可量化。</w:t>
      </w:r>
    </w:p>
    <w:p>
      <w:pPr>
        <w:widowControl/>
        <w:ind w:firstLine="643"/>
        <w:rPr>
          <w:rFonts w:hint="eastAsia" w:ascii="仿宋_GB2312" w:hAnsi="仿宋_GB2312" w:eastAsia="仿宋_GB2312" w:cs="仿宋_GB2312"/>
          <w:color w:val="auto"/>
        </w:rPr>
      </w:pPr>
      <w:r>
        <w:rPr>
          <w:rFonts w:hint="eastAsia" w:ascii="仿宋_GB2312" w:hAnsi="仿宋_GB2312" w:eastAsia="仿宋_GB2312" w:cs="仿宋_GB2312"/>
          <w:b/>
          <w:bCs/>
          <w:color w:val="auto"/>
        </w:rPr>
        <w:t>2.加强绩效自评工作管理，提高自评工作质量。</w:t>
      </w:r>
      <w:r>
        <w:rPr>
          <w:rFonts w:hint="eastAsia" w:ascii="仿宋_GB2312" w:hAnsi="仿宋_GB2312" w:eastAsia="仿宋_GB2312" w:cs="仿宋_GB2312"/>
          <w:color w:val="auto"/>
        </w:rPr>
        <w:t>针对绩效自评工作质量不够高的问题，要加深绩效管理理念认识，重视绩效跟踪、绩效自评等各项绩效管理工作，充分利用结果导向的绩效管理工具，及时发现工作中的不足与问题，提高纠偏效率。</w:t>
      </w:r>
    </w:p>
    <w:p>
      <w:pPr>
        <w:pStyle w:val="7"/>
        <w:numPr>
          <w:ilvl w:val="0"/>
          <w:numId w:val="5"/>
        </w:numPr>
        <w:ind w:firstLine="643"/>
        <w:outlineLvl w:val="0"/>
        <w:rPr>
          <w:rFonts w:hint="eastAsia" w:ascii="黑体" w:hAnsi="黑体" w:eastAsia="黑体" w:cs="黑体"/>
          <w:b w:val="0"/>
          <w:bCs/>
          <w:color w:val="auto"/>
        </w:rPr>
      </w:pPr>
      <w:bookmarkStart w:id="230" w:name="_Toc196493839"/>
      <w:r>
        <w:rPr>
          <w:rFonts w:hint="eastAsia" w:ascii="黑体" w:hAnsi="黑体" w:eastAsia="黑体" w:cs="黑体"/>
          <w:b w:val="0"/>
          <w:bCs/>
          <w:color w:val="auto"/>
        </w:rPr>
        <w:t>其他需要说明的问题</w:t>
      </w:r>
      <w:bookmarkEnd w:id="230"/>
    </w:p>
    <w:p>
      <w:pPr>
        <w:rPr>
          <w:rFonts w:hint="eastAsia" w:ascii="仿宋_GB2312" w:hAnsi="仿宋_GB2312" w:eastAsia="仿宋_GB2312" w:cs="仿宋_GB2312"/>
          <w:bCs/>
          <w:color w:val="auto"/>
        </w:rPr>
      </w:pPr>
      <w:r>
        <w:rPr>
          <w:rFonts w:hint="eastAsia" w:ascii="仿宋_GB2312" w:hAnsi="仿宋_GB2312" w:eastAsia="仿宋_GB2312" w:cs="仿宋_GB2312"/>
          <w:bCs/>
          <w:color w:val="auto"/>
        </w:rPr>
        <w:t>无。</w:t>
      </w:r>
    </w:p>
    <w:p>
      <w:pPr>
        <w:rPr>
          <w:rFonts w:hint="eastAsia" w:ascii="仿宋_GB2312" w:hAnsi="仿宋_GB2312" w:eastAsia="仿宋_GB2312" w:cs="仿宋_GB2312"/>
          <w:color w:val="auto"/>
        </w:rPr>
      </w:pPr>
    </w:p>
    <w:p>
      <w:pPr>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附件：综合评分表</w:t>
      </w:r>
    </w:p>
    <w:p>
      <w:pPr>
        <w:rPr>
          <w:rFonts w:hint="eastAsia" w:ascii="仿宋_GB2312" w:hAnsi="仿宋_GB2312" w:eastAsia="仿宋_GB2312" w:cs="仿宋_GB2312"/>
          <w:color w:val="auto"/>
          <w:szCs w:val="32"/>
        </w:rPr>
      </w:pPr>
    </w:p>
    <w:p>
      <w:pPr>
        <w:jc w:val="right"/>
        <w:rPr>
          <w:rFonts w:hint="eastAsia" w:ascii="仿宋_GB2312" w:hAnsi="仿宋_GB2312" w:eastAsia="仿宋_GB2312" w:cs="仿宋_GB2312"/>
          <w:color w:val="auto"/>
          <w:szCs w:val="32"/>
        </w:rPr>
      </w:pPr>
    </w:p>
    <w:p>
      <w:pPr>
        <w:jc w:val="right"/>
        <w:rPr>
          <w:rFonts w:hint="eastAsia" w:ascii="仿宋_GB2312" w:hAnsi="仿宋_GB2312" w:eastAsia="仿宋_GB2312" w:cs="仿宋_GB2312"/>
          <w:color w:val="auto"/>
          <w:szCs w:val="32"/>
        </w:rPr>
      </w:pPr>
    </w:p>
    <w:p>
      <w:pPr>
        <w:jc w:val="right"/>
        <w:rPr>
          <w:rFonts w:hint="eastAsia" w:ascii="仿宋_GB2312" w:hAnsi="仿宋_GB2312" w:eastAsia="仿宋_GB2312" w:cs="仿宋_GB2312"/>
          <w:color w:val="auto"/>
          <w:szCs w:val="32"/>
        </w:rPr>
      </w:pPr>
    </w:p>
    <w:p>
      <w:pPr>
        <w:jc w:val="right"/>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海南省交通运输厅</w:t>
      </w:r>
    </w:p>
    <w:p>
      <w:pPr>
        <w:jc w:val="right"/>
        <w:rPr>
          <w:rFonts w:hint="eastAsia" w:ascii="仿宋_GB2312" w:hAnsi="仿宋_GB2312" w:eastAsia="仿宋_GB2312" w:cs="仿宋_GB2312"/>
          <w:color w:val="auto"/>
          <w:szCs w:val="32"/>
        </w:rPr>
        <w:sectPr>
          <w:footerReference r:id="rId15" w:type="default"/>
          <w:pgSz w:w="11906" w:h="16838"/>
          <w:pgMar w:top="1440" w:right="1800" w:bottom="1440" w:left="1800" w:header="227" w:footer="283" w:gutter="0"/>
          <w:cols w:space="0" w:num="1"/>
          <w:docGrid w:type="lines" w:linePitch="435" w:charSpace="0"/>
        </w:sectPr>
      </w:pPr>
      <w:r>
        <w:rPr>
          <w:rFonts w:hint="eastAsia" w:ascii="仿宋_GB2312" w:hAnsi="仿宋_GB2312" w:eastAsia="仿宋_GB2312" w:cs="仿宋_GB2312"/>
          <w:color w:val="auto"/>
          <w:szCs w:val="32"/>
        </w:rPr>
        <w:t>二Ｏ二五年四月</w:t>
      </w:r>
    </w:p>
    <w:p>
      <w:pPr>
        <w:pStyle w:val="7"/>
        <w:ind w:firstLine="0" w:firstLineChars="0"/>
        <w:outlineLvl w:val="0"/>
        <w:rPr>
          <w:rFonts w:ascii="Times New Roman" w:hAnsi="Times New Roman" w:cs="Times New Roman" w:eastAsiaTheme="minorEastAsia"/>
          <w:b/>
          <w:color w:val="auto"/>
          <w:lang w:eastAsia="zh-Hans"/>
        </w:rPr>
      </w:pPr>
      <w:bookmarkStart w:id="231" w:name="_Toc196493840"/>
      <w:r>
        <w:rPr>
          <w:rFonts w:ascii="Times New Roman" w:hAnsi="Times New Roman" w:cs="Times New Roman" w:eastAsiaTheme="minorEastAsia"/>
          <w:b/>
          <w:color w:val="auto"/>
          <w:lang w:eastAsia="zh-Hans"/>
        </w:rPr>
        <w:t>附件</w:t>
      </w:r>
      <w:r>
        <w:rPr>
          <w:rFonts w:ascii="Times New Roman" w:hAnsi="Times New Roman" w:cs="Times New Roman" w:eastAsiaTheme="minorEastAsia"/>
          <w:b/>
          <w:color w:val="auto"/>
        </w:rPr>
        <w:t>：</w:t>
      </w:r>
      <w:r>
        <w:rPr>
          <w:rFonts w:ascii="Times New Roman" w:hAnsi="Times New Roman" w:cs="Times New Roman" w:eastAsiaTheme="minorEastAsia"/>
          <w:b/>
          <w:color w:val="auto"/>
          <w:lang w:eastAsia="zh-Hans"/>
        </w:rPr>
        <w:t>综合评分表</w:t>
      </w:r>
      <w:bookmarkEnd w:id="231"/>
    </w:p>
    <w:tbl>
      <w:tblPr>
        <w:tblStyle w:val="18"/>
        <w:tblW w:w="14221" w:type="dxa"/>
        <w:tblInd w:w="0" w:type="dxa"/>
        <w:tblLayout w:type="fixed"/>
        <w:tblCellMar>
          <w:top w:w="0" w:type="dxa"/>
          <w:left w:w="108" w:type="dxa"/>
          <w:bottom w:w="0" w:type="dxa"/>
          <w:right w:w="108" w:type="dxa"/>
        </w:tblCellMar>
      </w:tblPr>
      <w:tblGrid>
        <w:gridCol w:w="762"/>
        <w:gridCol w:w="793"/>
        <w:gridCol w:w="828"/>
        <w:gridCol w:w="750"/>
        <w:gridCol w:w="600"/>
        <w:gridCol w:w="1620"/>
        <w:gridCol w:w="2680"/>
        <w:gridCol w:w="1544"/>
        <w:gridCol w:w="3823"/>
        <w:gridCol w:w="821"/>
      </w:tblGrid>
      <w:tr>
        <w:tblPrEx>
          <w:tblCellMar>
            <w:top w:w="0" w:type="dxa"/>
            <w:left w:w="108" w:type="dxa"/>
            <w:bottom w:w="0" w:type="dxa"/>
            <w:right w:w="108" w:type="dxa"/>
          </w:tblCellMar>
        </w:tblPrEx>
        <w:trPr>
          <w:trHeight w:val="23" w:hRule="atLeast"/>
          <w:tblHead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一级指标</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二级指标</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三级指标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目标值</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权重</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指标解释</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评价要点</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评分规则</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评分说明</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eastAsiaTheme="minorEastAsia"/>
                <w:b/>
                <w:bCs/>
                <w:color w:val="auto"/>
                <w:sz w:val="24"/>
              </w:rPr>
            </w:pPr>
            <w:r>
              <w:rPr>
                <w:rFonts w:eastAsiaTheme="minorEastAsia"/>
                <w:b/>
                <w:bCs/>
                <w:color w:val="auto"/>
                <w:kern w:val="0"/>
                <w:sz w:val="24"/>
                <w:lang w:bidi="ar"/>
              </w:rPr>
              <w:t>得分</w:t>
            </w:r>
          </w:p>
        </w:tc>
      </w:tr>
      <w:tr>
        <w:tblPrEx>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决策（16分）　</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项目立项（4分）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立项依据充分性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充分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项目立项是否符合法律法规、相关政策、发展规划以及部门职责，用以反映和考核项目立项依据情况。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海南省为提高高速公路服务水平，改善交通条件，促进海南旅游业发展，对海南环岛东线海口至三亚高速公路项目、海口至文昌高速公路改建等项目进行建设。海南省交通投资控股有限公司向进出口银行、国家开发银行等金融机构贷款，以确保项目建设用款需求，顺利推进道路建设项目。2024年高速公路偿债项目为延续性项目，项目起始时间为2021年。根据《海南省交通运输厅关于批复2024年交通运输部门预算的通知》（琼交财〔2024〕68号），2024年年初海南省交通运输厅批复2024年高速公路建设偿债资金预算。项目立项充分，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2.00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立项程序规范性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充分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项目申请、设立过程是否符合相关要求，用以反映和考核项目立项的规范情况。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评价要点：①项目是否按照规定的程序申请设立；②审批文件、材料是否符合相关要求；③事前是否已经过必要的可行性研究、专家论证、风险评估、绩效评估、集体决策。</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2024年高速公路偿债项目为延续性项目，项目起始时间为2021年，该项目为延续性项目，海南省交通运输厅2024年高速公路偿债项目进行了项目预算申报，根据《海南省交通运输厅关于批复2024年交通运输部门预算的通知》（琼交财〔2024〕68号），项目得到批复。按规定程序进行预算申报，项目立项程序规范，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2.00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绩效目标（4分）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绩效目标合理性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项目所设定的绩效目标是否依据充分，是否符合客观实际，用以反映和考核项目绩效目标与项目实施的相符情况。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根据项目绩效目标申报表，2024年高速公路建设偿债项目年度绩效目标为：降低交通系统负债率</w:t>
            </w:r>
            <w:r>
              <w:rPr>
                <w:rFonts w:hint="eastAsia" w:ascii="仿宋_GB2312" w:hAnsi="仿宋_GB2312" w:eastAsia="仿宋_GB2312" w:cs="仿宋_GB2312"/>
                <w:color w:val="auto"/>
                <w:kern w:val="0"/>
                <w:sz w:val="24"/>
                <w:lang w:eastAsia="zh-CN" w:bidi="ar"/>
              </w:rPr>
              <w:t>，通过贷款保障公路项目建设资金，提高道路服务水平情况</w:t>
            </w:r>
            <w:r>
              <w:rPr>
                <w:rFonts w:hint="eastAsia" w:ascii="仿宋_GB2312" w:hAnsi="仿宋_GB2312" w:eastAsia="仿宋_GB2312" w:cs="仿宋_GB2312"/>
                <w:color w:val="auto"/>
                <w:kern w:val="0"/>
                <w:sz w:val="24"/>
                <w:lang w:bidi="ar"/>
              </w:rPr>
              <w:t>。绩效目标与实际工作内容相关，但项目绩效目标不够具体，不能体现出预期的产出水平、从绩效目标中不能确定与预算确定的项目投资额或资金量相匹配。本指标扣50%权重分。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 xml:space="preserve">1.00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绩效指标明确性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明确</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依据绩效目标设定的绩效指标是否清晰、细化、可衡量等，用以反映和考核项目绩效目标的明细化情况。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评价要点：①是否将项目绩效目标细化分解为具体的绩效指标；②是否通过清晰、可衡量的指标值予以体现；③是否与项目目标任务数或计划数相对应。</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根据项目绩效目标申报表,部门已将高速公路建设偿债项目绩效目标分解为具体的绩效指标。该指标得满分。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2.00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资金投入（8分）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预算编制科学性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科学</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项目预算编制是否经过科学论证、有明确标准，资金额度与年度目标是否相适应，用以反映和考核项目预算编制的科学性、合理性情况。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评价要点：①预算编制是否经过科学论证；②预算内容与项目内容是否匹配；③预算额度测算依据是否充分，是否按照标准编制；④预算确定的项目投资额或资金量是否与工作任务相匹配。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根据海南省交通运输厅提供的2024年高速公路建设偿债项目测算明细表，项目测算依据充分，预算确定的项目投资额与任务明细相匹配。预算编制科学性，该指标得满分。</w:t>
            </w:r>
          </w:p>
          <w:p>
            <w:pPr>
              <w:widowControl/>
              <w:spacing w:line="400" w:lineRule="exact"/>
              <w:ind w:firstLine="0" w:firstLineChars="0"/>
              <w:jc w:val="center"/>
              <w:textAlignment w:val="center"/>
              <w:rPr>
                <w:rFonts w:hint="eastAsia" w:ascii="仿宋_GB2312" w:hAnsi="仿宋_GB2312" w:eastAsia="仿宋_GB2312" w:cs="仿宋_GB2312"/>
                <w:color w:val="auto"/>
                <w:sz w:val="24"/>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4.00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资金分配合理性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项目预算资金分配是否有测算依据，与补助单位或地方实际是否相适应，用以反映和考核项目预算资金分配的科学性、合理性情况。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评价要点：①预算资金分配依据是否充分；②资金分配额度是否合理，与项目单位或地方实际是否相适应。</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满足一项得50%权重分。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部门依据项目测算及《海南省交通运输厅关于批复2024年交通运输部门预算的通知》（琼交财〔2024〕68号）批复的相关要求进行资金分配。预算资金分配依据充分，资金分配额度合理，该指标得满分。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4.00 </w:t>
            </w:r>
          </w:p>
        </w:tc>
      </w:tr>
      <w:tr>
        <w:tblPrEx>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过程（24分）</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资金管理（14分）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资金到位率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实际到位资金与预算资金的比率，用以反映和考核资金落实情况对项目实施的总体保障程度。</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资金到位率=（实际到位资金/预算资金）×100%。</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实际到位资金：一定时期（本年度或项目期）内落实到具体项目的资金。</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预算资金：一定时期（本年度或项目期）内预算安排到具体项目的资金。</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2024年1月31日，《海南省交通运输厅关于批复2024年交通运输部门预算的通知》（琼交财〔2024〕68号）安排高速公路建设偿债资金33,456.36万元；2024年9月14日，省财政厅《关于同意调剂省交通运输厅部门预算的通知》（琼财建〔2024〕922号）调剂当年预算指标4,000万元;2024年12月12日，省财政厅《关于收回省交通运输厅2024年部分预算指标的通知》（琼财建〔2024〕1431号）收回高速公路建设偿债资金2,996万元。调剂和财政收回预算指标后，省交通运输厅2024年预算安排高速公路建设偿债资金26,460.36万元，实际到位资金26,460.36万元，资金到位率100%，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5.00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项目预算资金是否按照计划执行，用以反映或考核项目预算执行情况。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预算执行率=（实际支出资金/实际到位资金）×100%。</w:t>
            </w:r>
            <w:r>
              <w:rPr>
                <w:rFonts w:hint="eastAsia" w:ascii="仿宋_GB2312" w:hAnsi="仿宋_GB2312" w:eastAsia="仿宋_GB2312" w:cs="仿宋_GB2312"/>
                <w:color w:val="auto"/>
                <w:kern w:val="0"/>
                <w:sz w:val="24"/>
                <w:lang w:bidi="ar"/>
              </w:rPr>
              <w:br w:type="textWrapping"/>
            </w:r>
            <w:r>
              <w:rPr>
                <w:rFonts w:hint="eastAsia" w:ascii="仿宋_GB2312" w:hAnsi="仿宋_GB2312" w:eastAsia="仿宋_GB2312" w:cs="仿宋_GB2312"/>
                <w:color w:val="auto"/>
                <w:kern w:val="0"/>
                <w:sz w:val="24"/>
                <w:lang w:bidi="ar"/>
              </w:rPr>
              <w:t>实际支出资金：一定时期（本年度或项目期）内项目实际拨付的资金。</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根据相关材料，2024年高速公路建设偿债项目实际到位资金26,460.36万元，2024年实际支出26,459.49万元，预算执行率100.00%。该指标得满分。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5.00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资金使用合规性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合规</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项目资金使用是否符合相关的财务管理制度规定，用以反映和考核项目资金的规范运行情况。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条件④不满足，本指标不得分；条件④满足，其余三项每满足1项得1/3权重分。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根据部门提供的项目支出相关材料，项目资金主要用于高速公路建设偿债的还本及付息，四个季度均有资金拨付请示，符合《海南省交通运输厅机关经费支出管理规定》。项目资金使用符合部门财务管理制度规定，资金拨付有完整的审批程序，资金支出范围符合项目预算批复的用途，未发现残留、挤占、挪用、虚列支出等情况。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4.00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组织实施（10分）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健全</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项目实施单位的财务和业务管理制度是否健全，用以反映和考核财务和业务管理制度对项目顺利实施的保障情况。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评价要点：①是否已制定或具有相应的财务和业务管理制度；②财务和业务管理制度是否合法、合规、完整。</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满足一项得50%权重分。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部门制定了《海南省交通运输厅机关经费支出管理规定》的财务管理制度，财务管理制度合规、合规、完整。管理制度健全，该指标得满分。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5.00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制度执行有效性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有效</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项目实施是否符合相关管理规定，用以反映和考核相关管理制度的有效执行情况。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根据部门所提供的项目支出明等相关材料，项目按照规定时间及应付金额进行本息偿债支付，项目支出有完整的审批手续和程序，项目实施遵守相关管理规定，制度执行有效，该指标得满分。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5.00 </w:t>
            </w:r>
          </w:p>
        </w:tc>
      </w:tr>
      <w:tr>
        <w:tblPrEx>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产出（30分）</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产出数量(12分）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还本付息完成率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考察还本付息完成率。</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业绩值=还本付息完成数量/还本付息总数*100%。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达到100%得满分权重分，每下降1%扣1%权重分，直至零分。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根据项目支出明细、海南省交通投资控股有限公司四个季度偿债资金的请示，高速公路建设</w:t>
            </w:r>
            <w:r>
              <w:rPr>
                <w:rFonts w:hint="eastAsia" w:ascii="仿宋_GB2312" w:hAnsi="仿宋_GB2312" w:eastAsia="仿宋_GB2312" w:cs="仿宋_GB2312"/>
                <w:color w:val="auto"/>
                <w:kern w:val="0"/>
                <w:sz w:val="24"/>
                <w:lang w:bidi="ar"/>
              </w:rPr>
              <w:t>第一季度需偿还本息22,045,822.61元；第二季度需偿还本息102,451,723.33元；第三季度需偿还本息21,079,794.06元；第四季度需偿还本息119,017,538.34元，均已完成支付</w:t>
            </w:r>
            <w:r>
              <w:rPr>
                <w:rFonts w:hint="eastAsia" w:ascii="仿宋_GB2312" w:hAnsi="仿宋_GB2312" w:eastAsia="仿宋_GB2312" w:cs="仿宋_GB2312"/>
                <w:color w:val="auto"/>
                <w:sz w:val="24"/>
              </w:rPr>
              <w:t>，还本付息完成率100%。</w:t>
            </w:r>
            <w:r>
              <w:rPr>
                <w:rFonts w:hint="eastAsia" w:ascii="仿宋_GB2312" w:hAnsi="仿宋_GB2312" w:eastAsia="仿宋_GB2312" w:cs="仿宋_GB2312"/>
                <w:color w:val="auto"/>
                <w:kern w:val="0"/>
                <w:sz w:val="24"/>
                <w:lang w:bidi="ar"/>
              </w:rPr>
              <w:t>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12.00 </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产出质量（12分）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偿债资金使用合规</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合规</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bookmarkStart w:id="232" w:name="OLE_LINK16"/>
            <w:r>
              <w:rPr>
                <w:rFonts w:hint="eastAsia" w:ascii="仿宋_GB2312" w:hAnsi="仿宋_GB2312" w:eastAsia="仿宋_GB2312" w:cs="仿宋_GB2312"/>
                <w:color w:val="auto"/>
                <w:kern w:val="0"/>
                <w:sz w:val="24"/>
                <w:lang w:bidi="ar"/>
              </w:rPr>
              <w:t>考察偿债资金使用</w:t>
            </w:r>
            <w:bookmarkEnd w:id="232"/>
            <w:r>
              <w:rPr>
                <w:rFonts w:hint="eastAsia" w:ascii="仿宋_GB2312" w:hAnsi="仿宋_GB2312" w:eastAsia="仿宋_GB2312" w:cs="仿宋_GB2312"/>
                <w:color w:val="auto"/>
                <w:kern w:val="0"/>
                <w:sz w:val="24"/>
                <w:lang w:bidi="ar"/>
              </w:rPr>
              <w:t>是否合规</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bookmarkStart w:id="233" w:name="OLE_LINK13"/>
            <w:r>
              <w:rPr>
                <w:rFonts w:hint="eastAsia" w:ascii="仿宋_GB2312" w:hAnsi="仿宋_GB2312" w:eastAsia="仿宋_GB2312" w:cs="仿宋_GB2312"/>
                <w:color w:val="auto"/>
                <w:kern w:val="0"/>
                <w:sz w:val="24"/>
                <w:lang w:bidi="ar"/>
              </w:rPr>
              <w:t>偿还资金使用符合资金使用要求</w:t>
            </w:r>
            <w:bookmarkEnd w:id="233"/>
            <w:r>
              <w:rPr>
                <w:rFonts w:hint="eastAsia" w:ascii="仿宋_GB2312" w:hAnsi="仿宋_GB2312" w:eastAsia="仿宋_GB2312" w:cs="仿宋_GB2312"/>
                <w:color w:val="auto"/>
                <w:kern w:val="0"/>
                <w:sz w:val="24"/>
                <w:lang w:bidi="ar"/>
              </w:rPr>
              <w:t>。</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bookmarkStart w:id="234" w:name="OLE_LINK17"/>
            <w:r>
              <w:rPr>
                <w:rFonts w:hint="eastAsia" w:ascii="仿宋_GB2312" w:hAnsi="仿宋_GB2312" w:eastAsia="仿宋_GB2312" w:cs="仿宋_GB2312"/>
                <w:color w:val="auto"/>
                <w:kern w:val="0"/>
                <w:sz w:val="24"/>
                <w:lang w:bidi="ar"/>
              </w:rPr>
              <w:t>达到目标值得满分，否则不得分。</w:t>
            </w:r>
            <w:bookmarkEnd w:id="234"/>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项目资金用于偿还高速公路建设本息，偿还资金符合使用要求。</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12.00</w:t>
            </w:r>
          </w:p>
        </w:tc>
      </w:tr>
      <w:tr>
        <w:tblPrEx>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color w:val="auto"/>
                <w:sz w:val="24"/>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产出时效（6分）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按期偿债及时率时率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6</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考察是否按计划及时还款。</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业绩值=实际还款日期/应还款日期*100%。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≥95%得满分权重分，每下降1%扣1%权重分，直至零分。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根据项目执行情况表、海南省交通投资控股有限公司四个季度偿债资金的请示，第一季度高速公路建设本息实际支付日期为2024年3月12日，其中归还东线高速日元贷款（C21）本息晚于日本进出口银行要求还本付息日2024年3月10日两天，银行实际计息日至2024年3月20日，不作为逾期还款；第二季度高速公路建设本息实际支付日期为2024年5月15日；第三季度高速公路建设本息实际支付日期为2024年9月10日；第四季度高速公路建设本息实际支付日期为2024年10月24日。2024年高速公路建设偿债均按规定时间完成支付，还款及时率为99%，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6.00 </w:t>
            </w:r>
          </w:p>
        </w:tc>
      </w:tr>
      <w:tr>
        <w:tblPrEx>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bookmarkStart w:id="235" w:name="_Hlk196492146"/>
            <w:r>
              <w:rPr>
                <w:rFonts w:hint="eastAsia" w:ascii="仿宋_GB2312" w:hAnsi="仿宋_GB2312" w:eastAsia="仿宋_GB2312" w:cs="仿宋_GB2312"/>
                <w:color w:val="auto"/>
                <w:kern w:val="0"/>
                <w:sz w:val="24"/>
                <w:lang w:bidi="ar"/>
              </w:rPr>
              <w:t>效益（30分）</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经济效益（15分）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bookmarkStart w:id="236" w:name="OLE_LINK18"/>
            <w:r>
              <w:rPr>
                <w:rFonts w:hint="eastAsia" w:ascii="仿宋_GB2312" w:hAnsi="仿宋_GB2312" w:eastAsia="仿宋_GB2312" w:cs="仿宋_GB2312"/>
                <w:color w:val="auto"/>
                <w:kern w:val="0"/>
                <w:sz w:val="24"/>
                <w:lang w:bidi="ar"/>
              </w:rPr>
              <w:t>厅机关负债余额</w:t>
            </w:r>
            <w:bookmarkEnd w:id="236"/>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2"/>
                <w:szCs w:val="22"/>
              </w:rPr>
              <w:t>降低</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15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考察项目实施后负债减少情况。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项目实施降低了交通运输厅负债余额。</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达到目标值得满分，否则不得分。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2023年末高速公路建设贷款债务余额为257,328.63万元，2024年实际偿还本金16,</w:t>
            </w:r>
            <w:r>
              <w:rPr>
                <w:rFonts w:hint="eastAsia" w:ascii="仿宋_GB2312" w:hAnsi="仿宋_GB2312" w:eastAsia="仿宋_GB2312" w:cs="仿宋_GB2312"/>
                <w:color w:val="auto"/>
                <w:kern w:val="0"/>
                <w:sz w:val="24"/>
                <w:lang w:val="en-US" w:eastAsia="zh-CN" w:bidi="ar"/>
              </w:rPr>
              <w:t>598.25</w:t>
            </w:r>
            <w:r>
              <w:rPr>
                <w:rFonts w:hint="eastAsia" w:ascii="仿宋_GB2312" w:hAnsi="仿宋_GB2312" w:eastAsia="仿宋_GB2312" w:cs="仿宋_GB2312"/>
                <w:color w:val="auto"/>
                <w:kern w:val="0"/>
                <w:sz w:val="24"/>
                <w:lang w:bidi="ar"/>
              </w:rPr>
              <w:t>万元，2024年末高速公路建设贷款债务余额为240,730.38万元，项目实施降低了海南省交通运输厅负债余额，本指标得满分。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15.00 </w:t>
            </w:r>
          </w:p>
        </w:tc>
      </w:tr>
      <w:tr>
        <w:tblPrEx>
          <w:tblCellMar>
            <w:top w:w="0" w:type="dxa"/>
            <w:left w:w="108" w:type="dxa"/>
            <w:bottom w:w="0" w:type="dxa"/>
            <w:right w:w="108" w:type="dxa"/>
          </w:tblCellMar>
        </w:tblPrEx>
        <w:trPr>
          <w:trHeight w:val="23" w:hRule="atLeast"/>
        </w:trPr>
        <w:tc>
          <w:tcPr>
            <w:tcW w:w="762"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社会效益（15分）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道路服务水平</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2"/>
                <w:szCs w:val="22"/>
              </w:rPr>
              <w:t>提高</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考察项目实施后</w:t>
            </w:r>
            <w:bookmarkStart w:id="237" w:name="OLE_LINK11"/>
            <w:r>
              <w:rPr>
                <w:rFonts w:hint="eastAsia" w:ascii="仿宋_GB2312" w:hAnsi="仿宋_GB2312" w:eastAsia="仿宋_GB2312" w:cs="仿宋_GB2312"/>
                <w:color w:val="auto"/>
                <w:kern w:val="0"/>
                <w:sz w:val="24"/>
                <w:lang w:bidi="ar"/>
              </w:rPr>
              <w:t>道路服务水平</w:t>
            </w:r>
            <w:bookmarkEnd w:id="237"/>
            <w:bookmarkStart w:id="238" w:name="OLE_LINK10"/>
            <w:r>
              <w:rPr>
                <w:rFonts w:hint="eastAsia" w:ascii="仿宋_GB2312" w:hAnsi="仿宋_GB2312" w:eastAsia="仿宋_GB2312" w:cs="仿宋_GB2312"/>
                <w:color w:val="auto"/>
                <w:kern w:val="0"/>
                <w:sz w:val="24"/>
                <w:lang w:bidi="ar"/>
              </w:rPr>
              <w:t>提升</w:t>
            </w:r>
            <w:bookmarkEnd w:id="238"/>
            <w:r>
              <w:rPr>
                <w:rFonts w:hint="eastAsia" w:ascii="仿宋_GB2312" w:hAnsi="仿宋_GB2312" w:eastAsia="仿宋_GB2312" w:cs="仿宋_GB2312"/>
                <w:color w:val="auto"/>
                <w:kern w:val="0"/>
                <w:sz w:val="24"/>
                <w:lang w:bidi="ar"/>
              </w:rPr>
              <w:t>情况。</w:t>
            </w:r>
          </w:p>
        </w:tc>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bookmarkStart w:id="239" w:name="OLE_LINK12"/>
            <w:r>
              <w:rPr>
                <w:rFonts w:hint="eastAsia" w:ascii="仿宋_GB2312" w:hAnsi="仿宋_GB2312" w:eastAsia="仿宋_GB2312" w:cs="仿宋_GB2312"/>
                <w:color w:val="auto"/>
                <w:kern w:val="0"/>
                <w:sz w:val="24"/>
                <w:lang w:bidi="ar"/>
              </w:rPr>
              <w:t>项目实施提升了道路服务水平。</w:t>
            </w:r>
            <w:bookmarkEnd w:id="239"/>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达到目标值得满分，否则不得分。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通过贷款保障公路项目建设资金，海南中线屯昌至琼中段、环岛高速公路改造工程九所至八所及邦溪至白马井段等项目的建设对完善区域路网结构、改善区域交通运输条件、加快沿线经济社会发展具有重要意义，有效提升了我省道路服务水平、公路安全水平、为当地群众出行提供了便利。</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15.00</w:t>
            </w:r>
          </w:p>
        </w:tc>
      </w:tr>
      <w:bookmarkEnd w:id="235"/>
      <w:tr>
        <w:tblPrEx>
          <w:tblCellMar>
            <w:top w:w="0" w:type="dxa"/>
            <w:left w:w="108" w:type="dxa"/>
            <w:bottom w:w="0" w:type="dxa"/>
            <w:right w:w="108" w:type="dxa"/>
          </w:tblCellMar>
        </w:tblPrEx>
        <w:trPr>
          <w:trHeight w:val="23" w:hRule="atLeast"/>
        </w:trPr>
        <w:tc>
          <w:tcPr>
            <w:tcW w:w="313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2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ind w:firstLine="0" w:firstLineChars="0"/>
              <w:jc w:val="center"/>
              <w:rPr>
                <w:rFonts w:hint="eastAsia" w:ascii="仿宋_GB2312" w:hAnsi="仿宋_GB2312" w:eastAsia="仿宋_GB2312" w:cs="仿宋_GB2312"/>
                <w:b/>
                <w:bCs/>
                <w:color w:val="auto"/>
                <w:sz w:val="24"/>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ind w:firstLine="0" w:firstLineChars="0"/>
              <w:jc w:val="center"/>
              <w:textAlignment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kern w:val="0"/>
                <w:sz w:val="24"/>
                <w:lang w:bidi="ar"/>
              </w:rPr>
              <w:t xml:space="preserve">99.00 </w:t>
            </w:r>
          </w:p>
        </w:tc>
      </w:tr>
    </w:tbl>
    <w:p>
      <w:pPr>
        <w:ind w:firstLine="0" w:firstLineChars="0"/>
        <w:rPr>
          <w:rFonts w:eastAsiaTheme="minorEastAsia"/>
          <w:color w:val="auto"/>
        </w:rPr>
      </w:pPr>
    </w:p>
    <w:sectPr>
      <w:headerReference r:id="rId16" w:type="default"/>
      <w:footerReference r:id="rId17" w:type="default"/>
      <w:pgSz w:w="16838" w:h="11906" w:orient="landscape"/>
      <w:pgMar w:top="1440" w:right="1418" w:bottom="1440" w:left="1797" w:header="851" w:footer="283" w:gutter="0"/>
      <w:cols w:space="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DejaVu Sans">
    <w:panose1 w:val="020B0603030804020204"/>
    <w:charset w:val="00"/>
    <w:family w:val="roman"/>
    <w:pitch w:val="default"/>
    <w:sig w:usb0="E7006EFF" w:usb1="D200FDFF" w:usb2="0A246029" w:usb3="0400200C" w:csb0="600001FF" w:csb1="DFFF0000"/>
  </w:font>
  <w:font w:name="MingLiU">
    <w:altName w:val="MS Gothic"/>
    <w:panose1 w:val="02010609000101010101"/>
    <w:charset w:val="88"/>
    <w:family w:val="moder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Impact">
    <w:panose1 w:val="020B080603090205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491206"/>
      <w:docPartObj>
        <w:docPartGallery w:val="autotext"/>
      </w:docPartObj>
    </w:sdtPr>
    <w:sdtContent>
      <w:p>
        <w:pPr>
          <w:pStyle w:val="11"/>
          <w:ind w:firstLine="360"/>
          <w:jc w:val="center"/>
        </w:pPr>
        <w:r>
          <w:fldChar w:fldCharType="begin"/>
        </w:r>
        <w:r>
          <w:instrText xml:space="preserve">PAGE   \* MERGEFORMAT</w:instrText>
        </w:r>
        <w:r>
          <w:fldChar w:fldCharType="separate"/>
        </w:r>
        <w:r>
          <w:rPr>
            <w:lang w:val="zh-CN"/>
          </w:rPr>
          <w:t>2</w:t>
        </w:r>
        <w:r>
          <w:fldChar w:fldCharType="end"/>
        </w:r>
      </w:p>
    </w:sdtContent>
  </w:sdt>
  <w:p>
    <w:pPr>
      <w:pStyle w:val="11"/>
      <w:tabs>
        <w:tab w:val="clear" w:pos="4153"/>
      </w:tabs>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9725038"/>
      <w:docPartObj>
        <w:docPartGallery w:val="autotext"/>
      </w:docPartObj>
    </w:sdtPr>
    <w:sdtContent>
      <w:p>
        <w:pPr>
          <w:pStyle w:val="11"/>
          <w:ind w:firstLine="360"/>
          <w:jc w:val="center"/>
        </w:pPr>
        <w:r>
          <w:fldChar w:fldCharType="begin"/>
        </w:r>
        <w:r>
          <w:instrText xml:space="preserve">PAGE   \* MERGEFORMAT</w:instrText>
        </w:r>
        <w:r>
          <w:fldChar w:fldCharType="separate"/>
        </w:r>
        <w:r>
          <w:rPr>
            <w:lang w:val="zh-CN"/>
          </w:rPr>
          <w:t>2</w:t>
        </w:r>
        <w:r>
          <w:fldChar w:fldCharType="end"/>
        </w:r>
      </w:p>
    </w:sdtContent>
  </w:sdt>
  <w:p>
    <w:pPr>
      <w:pStyle w:val="11"/>
      <w:tabs>
        <w:tab w:val="clear" w:pos="4153"/>
      </w:tabs>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0291416"/>
      <w:docPartObj>
        <w:docPartGallery w:val="autotext"/>
      </w:docPartObj>
    </w:sdtPr>
    <w:sdtContent>
      <w:p>
        <w:pPr>
          <w:pStyle w:val="11"/>
          <w:ind w:firstLine="360"/>
          <w:jc w:val="center"/>
        </w:pPr>
        <w:r>
          <w:fldChar w:fldCharType="begin"/>
        </w:r>
        <w:r>
          <w:instrText xml:space="preserve">PAGE   \* MERGEFORMAT</w:instrText>
        </w:r>
        <w:r>
          <w:fldChar w:fldCharType="separate"/>
        </w:r>
        <w:r>
          <w:rPr>
            <w:lang w:val="zh-CN"/>
          </w:rPr>
          <w:t>2</w:t>
        </w:r>
        <w:r>
          <w:fldChar w:fldCharType="end"/>
        </w:r>
      </w:p>
    </w:sdtContent>
  </w:sdt>
  <w:p>
    <w:pPr>
      <w:pStyle w:val="11"/>
      <w:ind w:firstLine="360"/>
    </w:pPr>
  </w:p>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pPr>
    <w:r>
      <w:rPr>
        <w:sz w:val="28"/>
      </w:rPr>
      <mc:AlternateContent>
        <mc:Choice Requires="wps">
          <w:drawing>
            <wp:anchor distT="0" distB="0" distL="114300" distR="114300" simplePos="0" relativeHeight="251658240" behindDoc="0" locked="0" layoutInCell="1" allowOverlap="1">
              <wp:simplePos x="0" y="0"/>
              <wp:positionH relativeFrom="margin">
                <wp:posOffset>4548505</wp:posOffset>
              </wp:positionH>
              <wp:positionV relativeFrom="paragraph">
                <wp:posOffset>-1174750</wp:posOffset>
              </wp:positionV>
              <wp:extent cx="313690" cy="1828800"/>
              <wp:effectExtent l="0" t="0" r="10160" b="0"/>
              <wp:wrapNone/>
              <wp:docPr id="1" name="文本框 1"/>
              <wp:cNvGraphicFramePr/>
              <a:graphic xmlns:a="http://schemas.openxmlformats.org/drawingml/2006/main">
                <a:graphicData uri="http://schemas.microsoft.com/office/word/2010/wordprocessingShape">
                  <wps:wsp>
                    <wps:cNvSpPr txBox="true"/>
                    <wps:spPr>
                      <a:xfrm>
                        <a:off x="0" y="0"/>
                        <a:ext cx="31389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358.15pt;margin-top:-92.5pt;height:144pt;width:24.7pt;mso-position-horizontal-relative:margin;z-index:251658240;mso-width-relative:page;mso-height-relative:page;" filled="f" stroked="f" coordsize="21600,21600" o:gfxdata="UEsFBgAAAAAAAAAAAAAAAAAAAAAAAFBLAwQKAAAAAACHTuJAAAAAAAAAAAAAAAAABAAAAGRycy9Q&#10;SwMEFAAAAAgAh07iQHChQ/XaAAAADAEAAA8AAABkcnMvZG93bnJldi54bWxNj8FOwzAMhu9IvENk&#10;JG5bUqa1U2m6A4Id4ESHEEevdZtCk1RN1g2eHnNiR8uff39/sT3bQcw0hd47DclSgSBX+6Z3nYa3&#10;/dNiAyJEdA0O3pGGbwqwLa+vCswbf3KvNFexExziQo4aTIxjLmWoDVkMSz+S413rJ4uRx6mTzYQn&#10;DreDvFMqlRZ7xx8MjvRgqP6qjpY13l+U3f205sM+Yxsqs593j59a394k6h5EpHP8h+FPn2+gZKeD&#10;P7omiEFDlqQrRjUsks2aWzGSpesMxIFZtVIgy0Jelih/AVBLAwQUAAAACACHTuJAV+MczhkCAAAa&#10;BAAADgAAAGRycy9lMm9Eb2MueG1srVNNjtMwGN0jcQfLe5p0KkalajoqMypCqpiRCmLtOk4TyX/Y&#10;bpNyALgBKzaz51w9B89u0kHACrFxPvv7f+9lftMpSQ7C+cbogo5HOSVCc1M2elfQD+9XL6aU+MB0&#10;yaTRoqBH4enN4vmzeWtn4srURpbCERTRftbagtYh2FmWeV4LxfzIWKHhrIxTLODqdlnpWIvqSmZX&#10;eX6dtcaV1hkuvMfr3dlJF6l+VQke7qvKi0BkQTFbSKdL5zae2WLOZjvHbN3wfgz2D1Mo1mg0vZS6&#10;Y4GRvWv+KKUa7ow3VRhxozJTVQ0XaQdsM85/22ZTMyvSLgDH2wtM/v+V5e8OD440JbijRDMFik7f&#10;vp6+/zg9fiHjCE9r/QxRG4u40L02XUGD24vB5fEeF+8qp+IXKxGEAOvjBV/RBcLxOBlPpq8gCA7X&#10;eHo1neaJgOwp2zof3gijSDQK6sBfgpUd1j5gGIQOIbGZNqtGysSh1KQt6PXkZZ4SLh5kSI3EuMZ5&#10;1miFbtv1u21NecRqzpy14S1fNWi+Zj48MAcxYBUIPNzjqKRBE9NblNTGff7be4wHR/BS0kJcBfWf&#10;9swJSuRbDfaiEgfDDcZ2MPRe3RroFYxgmmQiwQU5mJUz6iN0v4xdKiY9CjPN0Q/cDOZtwK134v/h&#10;Yrm83KE9y8Jabyzv2YxoervcByCagI4onaHpwYMAE/79zxIV/us9RT390o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cKFD9doAAAAMAQAADwAAAAAAAAABACAAAAA4AAAAZHJzL2Rvd25yZXYueG1s&#10;UEsBAhQAFAAAAAgAh07iQFfjHM4ZAgAAGgQAAA4AAAAAAAAAAQAgAAAAPwEAAGRycy9lMm9Eb2Mu&#10;eG1sUEsFBgAAAAAGAAYAWQEAAMoFAAAAAA==&#10;">
              <v:fill on="f" focussize="0,0"/>
              <v:stroke on="f" weight="0.5pt"/>
              <v:imagedata o:title=""/>
              <o:lock v:ext="edit" aspectratio="f"/>
              <v:textbox inset="0mm,0mm,0mm,0mm" style="mso-fit-shape-to-text:t;">
                <w:txbxContent>
                  <w:p>
                    <w:pPr>
                      <w:pStyle w:val="11"/>
                      <w:ind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7ECC7"/>
    <w:multiLevelType w:val="singleLevel"/>
    <w:tmpl w:val="11D7ECC7"/>
    <w:lvl w:ilvl="0" w:tentative="0">
      <w:start w:val="5"/>
      <w:numFmt w:val="chineseCounting"/>
      <w:suff w:val="nothing"/>
      <w:lvlText w:val="%1、"/>
      <w:lvlJc w:val="left"/>
      <w:rPr>
        <w:rFonts w:hint="eastAsia"/>
      </w:rPr>
    </w:lvl>
  </w:abstractNum>
  <w:abstractNum w:abstractNumId="1">
    <w:nsid w:val="31ADC929"/>
    <w:multiLevelType w:val="singleLevel"/>
    <w:tmpl w:val="31ADC929"/>
    <w:lvl w:ilvl="0" w:tentative="0">
      <w:start w:val="1"/>
      <w:numFmt w:val="decimal"/>
      <w:suff w:val="nothing"/>
      <w:lvlText w:val="（%1）"/>
      <w:lvlJc w:val="left"/>
    </w:lvl>
  </w:abstractNum>
  <w:abstractNum w:abstractNumId="2">
    <w:nsid w:val="5AF1088E"/>
    <w:multiLevelType w:val="multilevel"/>
    <w:tmpl w:val="5AF1088E"/>
    <w:lvl w:ilvl="0" w:tentative="0">
      <w:start w:val="1"/>
      <w:numFmt w:val="chineseCountingThousand"/>
      <w:pStyle w:val="31"/>
      <w:suff w:val="space"/>
      <w:lvlText w:val="%1、"/>
      <w:lvlJc w:val="left"/>
      <w:pPr>
        <w:ind w:left="3543" w:hanging="425"/>
      </w:pPr>
      <w:rPr>
        <w:rFonts w:hint="eastAsia" w:eastAsia="宋体"/>
        <w:color w:val="auto"/>
        <w:sz w:val="36"/>
      </w:rPr>
    </w:lvl>
    <w:lvl w:ilvl="1" w:tentative="0">
      <w:start w:val="1"/>
      <w:numFmt w:val="decimal"/>
      <w:lvlRestart w:val="0"/>
      <w:pStyle w:val="30"/>
      <w:isLgl/>
      <w:suff w:val="space"/>
      <w:lvlText w:val="%1.%2"/>
      <w:lvlJc w:val="left"/>
      <w:pPr>
        <w:ind w:left="425" w:hanging="425"/>
      </w:pPr>
      <w:rPr>
        <w:rFonts w:ascii="宋体" w:hAnsi="宋体" w:eastAsia="宋体"/>
        <w:sz w:val="32"/>
        <w:szCs w:val="32"/>
      </w:rPr>
    </w:lvl>
    <w:lvl w:ilvl="2" w:tentative="0">
      <w:start w:val="1"/>
      <w:numFmt w:val="decimal"/>
      <w:lvlRestart w:val="0"/>
      <w:pStyle w:val="29"/>
      <w:isLgl/>
      <w:suff w:val="space"/>
      <w:lvlText w:val="%1.%2.%3"/>
      <w:lvlJc w:val="left"/>
      <w:pPr>
        <w:ind w:left="425" w:hanging="425"/>
      </w:pPr>
      <w:rPr>
        <w:rFonts w:ascii="宋体" w:hAnsi="宋体" w:eastAsia="宋体"/>
        <w:sz w:val="28"/>
        <w:szCs w:val="28"/>
      </w:rPr>
    </w:lvl>
    <w:lvl w:ilvl="3" w:tentative="0">
      <w:start w:val="1"/>
      <w:numFmt w:val="decimal"/>
      <w:lvlRestart w:val="0"/>
      <w:pStyle w:val="28"/>
      <w:isLgl/>
      <w:suff w:val="space"/>
      <w:lvlText w:val="%1.%2.%3.%4"/>
      <w:lvlJc w:val="left"/>
      <w:pPr>
        <w:ind w:left="425" w:hanging="425"/>
      </w:pPr>
      <w:rPr>
        <w:rFonts w:hint="eastAsia" w:ascii="宋体" w:hAnsi="宋体" w:eastAsia="宋体"/>
        <w:b/>
        <w:bCs w:val="0"/>
        <w:sz w:val="24"/>
      </w:rPr>
    </w:lvl>
    <w:lvl w:ilvl="4" w:tentative="0">
      <w:start w:val="1"/>
      <w:numFmt w:val="decimal"/>
      <w:lvlRestart w:val="0"/>
      <w:isLgl/>
      <w:suff w:val="space"/>
      <w:lvlText w:val="%1.%2.%3.%4.%5"/>
      <w:lvlJc w:val="left"/>
      <w:pPr>
        <w:ind w:left="425" w:hanging="425"/>
      </w:pPr>
      <w:rPr>
        <w:rFonts w:hint="eastAsia" w:ascii="宋体" w:hAnsi="宋体" w:eastAsia="宋体"/>
        <w:sz w:val="24"/>
      </w:rPr>
    </w:lvl>
    <w:lvl w:ilvl="5" w:tentative="0">
      <w:start w:val="1"/>
      <w:numFmt w:val="decimal"/>
      <w:lvlRestart w:val="0"/>
      <w:isLgl/>
      <w:suff w:val="space"/>
      <w:lvlText w:val="%1.%2.%3.%4.%5.%6"/>
      <w:lvlJc w:val="left"/>
      <w:pPr>
        <w:ind w:left="425" w:hanging="425"/>
      </w:pPr>
      <w:rPr>
        <w:rFonts w:hint="eastAsia" w:ascii="宋体" w:hAnsi="宋体" w:eastAsia="宋体"/>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0DDAB6A"/>
    <w:multiLevelType w:val="singleLevel"/>
    <w:tmpl w:val="60DDAB6A"/>
    <w:lvl w:ilvl="0" w:tentative="0">
      <w:start w:val="3"/>
      <w:numFmt w:val="chineseCounting"/>
      <w:suff w:val="nothing"/>
      <w:lvlText w:val="（%1）"/>
      <w:lvlJc w:val="left"/>
    </w:lvl>
  </w:abstractNum>
  <w:abstractNum w:abstractNumId="4">
    <w:nsid w:val="60DDAD03"/>
    <w:multiLevelType w:val="singleLevel"/>
    <w:tmpl w:val="60DDAD03"/>
    <w:lvl w:ilvl="0" w:tentative="0">
      <w:start w:val="2"/>
      <w:numFmt w:val="chineseCounting"/>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HorizontalSpacing w:val="160"/>
  <w:drawingGridVerticalSpacing w:val="435"/>
  <w:displayHorizontalDrawingGridEvery w:val="2"/>
  <w:noPunctuationKerning w:val="true"/>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FD7CC992"/>
    <w:rsid w:val="00072B88"/>
    <w:rsid w:val="000F0212"/>
    <w:rsid w:val="00156A91"/>
    <w:rsid w:val="00162CF6"/>
    <w:rsid w:val="001703C5"/>
    <w:rsid w:val="001B5CD3"/>
    <w:rsid w:val="00211CBF"/>
    <w:rsid w:val="0026000C"/>
    <w:rsid w:val="002B222B"/>
    <w:rsid w:val="002D0DE0"/>
    <w:rsid w:val="0035063D"/>
    <w:rsid w:val="003A7C5E"/>
    <w:rsid w:val="003E76E9"/>
    <w:rsid w:val="00451A09"/>
    <w:rsid w:val="004C05C5"/>
    <w:rsid w:val="004D6F3C"/>
    <w:rsid w:val="00514F87"/>
    <w:rsid w:val="005631FD"/>
    <w:rsid w:val="00565E48"/>
    <w:rsid w:val="00583E4C"/>
    <w:rsid w:val="00592156"/>
    <w:rsid w:val="00635FA7"/>
    <w:rsid w:val="00645EA2"/>
    <w:rsid w:val="0065711C"/>
    <w:rsid w:val="006777E3"/>
    <w:rsid w:val="0068161B"/>
    <w:rsid w:val="0068519D"/>
    <w:rsid w:val="00736E45"/>
    <w:rsid w:val="00751F35"/>
    <w:rsid w:val="007D5616"/>
    <w:rsid w:val="007E46B8"/>
    <w:rsid w:val="008349C6"/>
    <w:rsid w:val="00843F4F"/>
    <w:rsid w:val="00955E83"/>
    <w:rsid w:val="00961D9C"/>
    <w:rsid w:val="009B53CF"/>
    <w:rsid w:val="009D1CB9"/>
    <w:rsid w:val="00A81D5D"/>
    <w:rsid w:val="00AB33A3"/>
    <w:rsid w:val="00AC7E19"/>
    <w:rsid w:val="00AE1B63"/>
    <w:rsid w:val="00B27187"/>
    <w:rsid w:val="00BA3842"/>
    <w:rsid w:val="00BA5191"/>
    <w:rsid w:val="00BF5A92"/>
    <w:rsid w:val="00BF7A85"/>
    <w:rsid w:val="00C10385"/>
    <w:rsid w:val="00C826FF"/>
    <w:rsid w:val="00CA5BEC"/>
    <w:rsid w:val="00CC3B3E"/>
    <w:rsid w:val="00CD22A4"/>
    <w:rsid w:val="00CD22E5"/>
    <w:rsid w:val="00CF0375"/>
    <w:rsid w:val="00D2281B"/>
    <w:rsid w:val="00D3057A"/>
    <w:rsid w:val="00D329B5"/>
    <w:rsid w:val="00D42D94"/>
    <w:rsid w:val="00D6694C"/>
    <w:rsid w:val="00D7100C"/>
    <w:rsid w:val="00D86C32"/>
    <w:rsid w:val="00E03883"/>
    <w:rsid w:val="00E45062"/>
    <w:rsid w:val="00E61208"/>
    <w:rsid w:val="00EC3588"/>
    <w:rsid w:val="00F00CBD"/>
    <w:rsid w:val="00F62EE2"/>
    <w:rsid w:val="00FB21B5"/>
    <w:rsid w:val="00FD2DD1"/>
    <w:rsid w:val="00FF67E6"/>
    <w:rsid w:val="010827C0"/>
    <w:rsid w:val="014525BC"/>
    <w:rsid w:val="01FB0577"/>
    <w:rsid w:val="025F0B06"/>
    <w:rsid w:val="03092E78"/>
    <w:rsid w:val="03A870DF"/>
    <w:rsid w:val="03E02093"/>
    <w:rsid w:val="04785EAF"/>
    <w:rsid w:val="058054F8"/>
    <w:rsid w:val="0581309B"/>
    <w:rsid w:val="05E95E9E"/>
    <w:rsid w:val="06C76C7A"/>
    <w:rsid w:val="06E05B29"/>
    <w:rsid w:val="076170CE"/>
    <w:rsid w:val="08080399"/>
    <w:rsid w:val="08093192"/>
    <w:rsid w:val="080A5070"/>
    <w:rsid w:val="0837451B"/>
    <w:rsid w:val="084A3978"/>
    <w:rsid w:val="08890D90"/>
    <w:rsid w:val="09236DE8"/>
    <w:rsid w:val="092F4AD4"/>
    <w:rsid w:val="09540539"/>
    <w:rsid w:val="09547CAD"/>
    <w:rsid w:val="095641C3"/>
    <w:rsid w:val="09622C8A"/>
    <w:rsid w:val="09A32BE1"/>
    <w:rsid w:val="09CD758D"/>
    <w:rsid w:val="09FD3567"/>
    <w:rsid w:val="0A2D7BD9"/>
    <w:rsid w:val="0A3355B6"/>
    <w:rsid w:val="0A3665F0"/>
    <w:rsid w:val="0ACB43A6"/>
    <w:rsid w:val="0AF1065F"/>
    <w:rsid w:val="0B126E14"/>
    <w:rsid w:val="0B275F39"/>
    <w:rsid w:val="0B2B2074"/>
    <w:rsid w:val="0CD8573D"/>
    <w:rsid w:val="0D231B21"/>
    <w:rsid w:val="0D983B77"/>
    <w:rsid w:val="0E0F33E0"/>
    <w:rsid w:val="0E5C7119"/>
    <w:rsid w:val="0F4A0448"/>
    <w:rsid w:val="0F61261B"/>
    <w:rsid w:val="0FB90886"/>
    <w:rsid w:val="10095029"/>
    <w:rsid w:val="101451B2"/>
    <w:rsid w:val="108C3868"/>
    <w:rsid w:val="108F25B6"/>
    <w:rsid w:val="114B7B7E"/>
    <w:rsid w:val="11DE4E56"/>
    <w:rsid w:val="124E41FC"/>
    <w:rsid w:val="12796360"/>
    <w:rsid w:val="12A10CC7"/>
    <w:rsid w:val="12C30A38"/>
    <w:rsid w:val="12C756CC"/>
    <w:rsid w:val="13464D3E"/>
    <w:rsid w:val="144B318D"/>
    <w:rsid w:val="161530F8"/>
    <w:rsid w:val="16585B40"/>
    <w:rsid w:val="166019A4"/>
    <w:rsid w:val="16A23725"/>
    <w:rsid w:val="16B754B6"/>
    <w:rsid w:val="17FDF2DF"/>
    <w:rsid w:val="19DA102C"/>
    <w:rsid w:val="1A1B6A31"/>
    <w:rsid w:val="1A3441CE"/>
    <w:rsid w:val="1A3A4662"/>
    <w:rsid w:val="1A7260D3"/>
    <w:rsid w:val="1AC3111E"/>
    <w:rsid w:val="1C9553F8"/>
    <w:rsid w:val="1CC3154D"/>
    <w:rsid w:val="1CEC56C6"/>
    <w:rsid w:val="1DFF01EE"/>
    <w:rsid w:val="1E291F1C"/>
    <w:rsid w:val="1E5F0B33"/>
    <w:rsid w:val="1E625D07"/>
    <w:rsid w:val="1E650DFA"/>
    <w:rsid w:val="1EA79870"/>
    <w:rsid w:val="1ED55447"/>
    <w:rsid w:val="1EE324D4"/>
    <w:rsid w:val="1FA57D10"/>
    <w:rsid w:val="1FD8251E"/>
    <w:rsid w:val="20384BAE"/>
    <w:rsid w:val="214A70DA"/>
    <w:rsid w:val="2187594D"/>
    <w:rsid w:val="229015D7"/>
    <w:rsid w:val="22A97EC2"/>
    <w:rsid w:val="236E2625"/>
    <w:rsid w:val="250501B3"/>
    <w:rsid w:val="25091FEC"/>
    <w:rsid w:val="25AF576B"/>
    <w:rsid w:val="26063AA3"/>
    <w:rsid w:val="261E4E9E"/>
    <w:rsid w:val="26304DA3"/>
    <w:rsid w:val="2632668D"/>
    <w:rsid w:val="263F56A2"/>
    <w:rsid w:val="266D1E70"/>
    <w:rsid w:val="27960276"/>
    <w:rsid w:val="27D066E4"/>
    <w:rsid w:val="283755B5"/>
    <w:rsid w:val="28905912"/>
    <w:rsid w:val="29766698"/>
    <w:rsid w:val="29E50F3A"/>
    <w:rsid w:val="29FE1A6C"/>
    <w:rsid w:val="2A3A313B"/>
    <w:rsid w:val="2A6E50CD"/>
    <w:rsid w:val="2A890A1C"/>
    <w:rsid w:val="2ACA50D1"/>
    <w:rsid w:val="2B286C3A"/>
    <w:rsid w:val="2B53036F"/>
    <w:rsid w:val="2BFD7BFA"/>
    <w:rsid w:val="2CD94B09"/>
    <w:rsid w:val="2E552C39"/>
    <w:rsid w:val="2E674761"/>
    <w:rsid w:val="2E9A2215"/>
    <w:rsid w:val="2EEF31EF"/>
    <w:rsid w:val="2F1B5F54"/>
    <w:rsid w:val="2F5FDADE"/>
    <w:rsid w:val="2FA60C74"/>
    <w:rsid w:val="315D7A34"/>
    <w:rsid w:val="318E0B1B"/>
    <w:rsid w:val="31D43E75"/>
    <w:rsid w:val="32DE5E0A"/>
    <w:rsid w:val="332A7579"/>
    <w:rsid w:val="33396BAF"/>
    <w:rsid w:val="336F654B"/>
    <w:rsid w:val="33B13553"/>
    <w:rsid w:val="33D26ADA"/>
    <w:rsid w:val="33D61C65"/>
    <w:rsid w:val="347A2085"/>
    <w:rsid w:val="348E5811"/>
    <w:rsid w:val="34AA6148"/>
    <w:rsid w:val="34CF6206"/>
    <w:rsid w:val="35794430"/>
    <w:rsid w:val="35ED092C"/>
    <w:rsid w:val="3703372E"/>
    <w:rsid w:val="3792665B"/>
    <w:rsid w:val="37FB2297"/>
    <w:rsid w:val="3851701B"/>
    <w:rsid w:val="3877286A"/>
    <w:rsid w:val="39243934"/>
    <w:rsid w:val="39452033"/>
    <w:rsid w:val="39B0341A"/>
    <w:rsid w:val="3A872F07"/>
    <w:rsid w:val="3AF27297"/>
    <w:rsid w:val="3B722D63"/>
    <w:rsid w:val="3BA7C696"/>
    <w:rsid w:val="3C34579D"/>
    <w:rsid w:val="3C4F6F1A"/>
    <w:rsid w:val="3CAD1E92"/>
    <w:rsid w:val="3DF7B9E1"/>
    <w:rsid w:val="3E085773"/>
    <w:rsid w:val="3E5B50F9"/>
    <w:rsid w:val="3EE75F67"/>
    <w:rsid w:val="3F5B2DD4"/>
    <w:rsid w:val="3FA36CBA"/>
    <w:rsid w:val="3FBA7BF6"/>
    <w:rsid w:val="3FCF2D51"/>
    <w:rsid w:val="3FEA1BB8"/>
    <w:rsid w:val="406D5BC1"/>
    <w:rsid w:val="40F005A0"/>
    <w:rsid w:val="41703303"/>
    <w:rsid w:val="41BF069E"/>
    <w:rsid w:val="43AF6445"/>
    <w:rsid w:val="43E52505"/>
    <w:rsid w:val="445150C0"/>
    <w:rsid w:val="445C2D2C"/>
    <w:rsid w:val="44654E01"/>
    <w:rsid w:val="44764BDD"/>
    <w:rsid w:val="44E6591D"/>
    <w:rsid w:val="45E16709"/>
    <w:rsid w:val="4624366D"/>
    <w:rsid w:val="47033E8D"/>
    <w:rsid w:val="47372A84"/>
    <w:rsid w:val="47BA2EFA"/>
    <w:rsid w:val="47DE479C"/>
    <w:rsid w:val="486D54AC"/>
    <w:rsid w:val="487E46E3"/>
    <w:rsid w:val="48F03833"/>
    <w:rsid w:val="49DD71DE"/>
    <w:rsid w:val="4A0A4480"/>
    <w:rsid w:val="4B1252D7"/>
    <w:rsid w:val="4BB07C37"/>
    <w:rsid w:val="4BBD77C0"/>
    <w:rsid w:val="4CC60EB8"/>
    <w:rsid w:val="4CCE1CCF"/>
    <w:rsid w:val="4D0E66E5"/>
    <w:rsid w:val="4E882D43"/>
    <w:rsid w:val="4EEC76B8"/>
    <w:rsid w:val="4EF9DD98"/>
    <w:rsid w:val="4F1C73CE"/>
    <w:rsid w:val="4FA20B46"/>
    <w:rsid w:val="4FF14F05"/>
    <w:rsid w:val="500378B5"/>
    <w:rsid w:val="505A6814"/>
    <w:rsid w:val="508608B3"/>
    <w:rsid w:val="50A31AB2"/>
    <w:rsid w:val="50C128E0"/>
    <w:rsid w:val="514057E0"/>
    <w:rsid w:val="51FF4C10"/>
    <w:rsid w:val="522A0FD2"/>
    <w:rsid w:val="52686943"/>
    <w:rsid w:val="52734456"/>
    <w:rsid w:val="52EA2027"/>
    <w:rsid w:val="53175E82"/>
    <w:rsid w:val="53210238"/>
    <w:rsid w:val="532854A7"/>
    <w:rsid w:val="532A7941"/>
    <w:rsid w:val="549270A0"/>
    <w:rsid w:val="54D538DD"/>
    <w:rsid w:val="5602522D"/>
    <w:rsid w:val="5657273C"/>
    <w:rsid w:val="56995020"/>
    <w:rsid w:val="57290567"/>
    <w:rsid w:val="5745617C"/>
    <w:rsid w:val="57EBA43D"/>
    <w:rsid w:val="57ED1FB5"/>
    <w:rsid w:val="58B02697"/>
    <w:rsid w:val="58D57178"/>
    <w:rsid w:val="58D74012"/>
    <w:rsid w:val="591920DC"/>
    <w:rsid w:val="5A07690D"/>
    <w:rsid w:val="5AA46EEC"/>
    <w:rsid w:val="5ABC5958"/>
    <w:rsid w:val="5ACD216B"/>
    <w:rsid w:val="5AD252C0"/>
    <w:rsid w:val="5AEC2C48"/>
    <w:rsid w:val="5B3D2846"/>
    <w:rsid w:val="5B6055E3"/>
    <w:rsid w:val="5B931D1A"/>
    <w:rsid w:val="5C011462"/>
    <w:rsid w:val="5C0A1B37"/>
    <w:rsid w:val="5C7A151B"/>
    <w:rsid w:val="5CB37833"/>
    <w:rsid w:val="5E125962"/>
    <w:rsid w:val="5E7B3B42"/>
    <w:rsid w:val="5EAA4F75"/>
    <w:rsid w:val="5EF95222"/>
    <w:rsid w:val="5FD7515B"/>
    <w:rsid w:val="5FDF333C"/>
    <w:rsid w:val="606E0BAA"/>
    <w:rsid w:val="60F778E6"/>
    <w:rsid w:val="614C71D9"/>
    <w:rsid w:val="61637CC2"/>
    <w:rsid w:val="622F10AC"/>
    <w:rsid w:val="629E5E1A"/>
    <w:rsid w:val="63544DA0"/>
    <w:rsid w:val="63936767"/>
    <w:rsid w:val="63B7399B"/>
    <w:rsid w:val="64BB489D"/>
    <w:rsid w:val="64F47DAF"/>
    <w:rsid w:val="65311935"/>
    <w:rsid w:val="6533227E"/>
    <w:rsid w:val="657809E0"/>
    <w:rsid w:val="658A4894"/>
    <w:rsid w:val="66CA34BB"/>
    <w:rsid w:val="66CF7991"/>
    <w:rsid w:val="66F5BA99"/>
    <w:rsid w:val="676048A9"/>
    <w:rsid w:val="677D904B"/>
    <w:rsid w:val="68BE09DD"/>
    <w:rsid w:val="68E12566"/>
    <w:rsid w:val="690400C9"/>
    <w:rsid w:val="692C35CD"/>
    <w:rsid w:val="696329D3"/>
    <w:rsid w:val="6965127B"/>
    <w:rsid w:val="69884D00"/>
    <w:rsid w:val="698A7A5A"/>
    <w:rsid w:val="69F76592"/>
    <w:rsid w:val="6A1429D8"/>
    <w:rsid w:val="6A1A07A2"/>
    <w:rsid w:val="6A2D527E"/>
    <w:rsid w:val="6AA01401"/>
    <w:rsid w:val="6AE52868"/>
    <w:rsid w:val="6AF21CD5"/>
    <w:rsid w:val="6C094140"/>
    <w:rsid w:val="6C2B055A"/>
    <w:rsid w:val="6C417D7E"/>
    <w:rsid w:val="6D347FE5"/>
    <w:rsid w:val="6D494975"/>
    <w:rsid w:val="6D592EA5"/>
    <w:rsid w:val="6D8B5A9D"/>
    <w:rsid w:val="6DBEA8B9"/>
    <w:rsid w:val="6E6B596B"/>
    <w:rsid w:val="6ECBF29F"/>
    <w:rsid w:val="6EE62F40"/>
    <w:rsid w:val="6F2424DB"/>
    <w:rsid w:val="6F3B66E1"/>
    <w:rsid w:val="6F7B2183"/>
    <w:rsid w:val="6F7BD2EC"/>
    <w:rsid w:val="6F7E4E45"/>
    <w:rsid w:val="6F7F7BE5"/>
    <w:rsid w:val="6FD61503"/>
    <w:rsid w:val="6FFE9CB9"/>
    <w:rsid w:val="70393A2A"/>
    <w:rsid w:val="70403C5A"/>
    <w:rsid w:val="70502754"/>
    <w:rsid w:val="70A536E3"/>
    <w:rsid w:val="7148517E"/>
    <w:rsid w:val="715D133E"/>
    <w:rsid w:val="715EEC43"/>
    <w:rsid w:val="72C64298"/>
    <w:rsid w:val="72D17E98"/>
    <w:rsid w:val="73C14A08"/>
    <w:rsid w:val="73F517ED"/>
    <w:rsid w:val="746521AA"/>
    <w:rsid w:val="75E74F8A"/>
    <w:rsid w:val="75FFA799"/>
    <w:rsid w:val="77F631D4"/>
    <w:rsid w:val="79406AC7"/>
    <w:rsid w:val="7AC2779E"/>
    <w:rsid w:val="7ACA3DAA"/>
    <w:rsid w:val="7B164183"/>
    <w:rsid w:val="7B3657D6"/>
    <w:rsid w:val="7B7F441F"/>
    <w:rsid w:val="7BF7F1F4"/>
    <w:rsid w:val="7C042B76"/>
    <w:rsid w:val="7C7878C2"/>
    <w:rsid w:val="7CAF76FC"/>
    <w:rsid w:val="7CE46BC0"/>
    <w:rsid w:val="7D576805"/>
    <w:rsid w:val="7DFB0D92"/>
    <w:rsid w:val="7E3965BB"/>
    <w:rsid w:val="7E465DCE"/>
    <w:rsid w:val="7F192494"/>
    <w:rsid w:val="7F4A7D85"/>
    <w:rsid w:val="7F5C78AC"/>
    <w:rsid w:val="7FCE90AB"/>
    <w:rsid w:val="7FDBF2DF"/>
    <w:rsid w:val="7FDCC1C8"/>
    <w:rsid w:val="7FEB6597"/>
    <w:rsid w:val="7FF65121"/>
    <w:rsid w:val="7FF7A9B4"/>
    <w:rsid w:val="9675F6EA"/>
    <w:rsid w:val="97DD6707"/>
    <w:rsid w:val="A7CE34FB"/>
    <w:rsid w:val="ADDC4017"/>
    <w:rsid w:val="AF2B0AEB"/>
    <w:rsid w:val="B7DE1657"/>
    <w:rsid w:val="B7DE3BB6"/>
    <w:rsid w:val="B7FF09ED"/>
    <w:rsid w:val="B7FF98EB"/>
    <w:rsid w:val="BB1FFCA6"/>
    <w:rsid w:val="BD7B6E9D"/>
    <w:rsid w:val="BDACF6A8"/>
    <w:rsid w:val="BEFD483D"/>
    <w:rsid w:val="BFF54C2C"/>
    <w:rsid w:val="C7F09D20"/>
    <w:rsid w:val="DEEDEF29"/>
    <w:rsid w:val="DFBFFC11"/>
    <w:rsid w:val="DFF7EFC2"/>
    <w:rsid w:val="E529F2F8"/>
    <w:rsid w:val="E79A44A9"/>
    <w:rsid w:val="E7FF3EF1"/>
    <w:rsid w:val="EEEA3C40"/>
    <w:rsid w:val="EF779C14"/>
    <w:rsid w:val="EFADF9A9"/>
    <w:rsid w:val="F5AE04DB"/>
    <w:rsid w:val="F5DF5DD4"/>
    <w:rsid w:val="F5FFCE2B"/>
    <w:rsid w:val="F6F71786"/>
    <w:rsid w:val="FADBA00C"/>
    <w:rsid w:val="FADF6A7D"/>
    <w:rsid w:val="FBBB5EFE"/>
    <w:rsid w:val="FD7CC992"/>
    <w:rsid w:val="FDEF8E10"/>
    <w:rsid w:val="FE37F29B"/>
    <w:rsid w:val="FEEF9FC5"/>
    <w:rsid w:val="FF5E451A"/>
    <w:rsid w:val="FF5F041C"/>
    <w:rsid w:val="FF7B06FF"/>
    <w:rsid w:val="FFBB3724"/>
    <w:rsid w:val="FFD951BE"/>
    <w:rsid w:val="FFDFB8C2"/>
    <w:rsid w:val="FFF70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line="360" w:lineRule="auto"/>
      <w:ind w:firstLine="0" w:firstLineChars="0"/>
      <w:outlineLvl w:val="0"/>
    </w:pPr>
    <w:rPr>
      <w:rFonts w:eastAsia="Songti SC"/>
      <w:b/>
      <w:kern w:val="44"/>
    </w:rPr>
  </w:style>
  <w:style w:type="paragraph" w:styleId="4">
    <w:name w:val="heading 2"/>
    <w:basedOn w:val="1"/>
    <w:next w:val="1"/>
    <w:unhideWhenUsed/>
    <w:qFormat/>
    <w:uiPriority w:val="0"/>
    <w:pPr>
      <w:keepNext/>
      <w:keepLines/>
      <w:spacing w:line="360" w:lineRule="auto"/>
      <w:ind w:firstLine="641"/>
      <w:outlineLvl w:val="1"/>
    </w:pPr>
    <w:rPr>
      <w:rFonts w:ascii="DejaVu Sans" w:hAnsi="DejaVu Sans" w:eastAsia="Songti SC"/>
      <w:b/>
      <w:sz w:val="28"/>
    </w:rPr>
  </w:style>
  <w:style w:type="paragraph" w:styleId="5">
    <w:name w:val="heading 3"/>
    <w:basedOn w:val="1"/>
    <w:next w:val="1"/>
    <w:unhideWhenUsed/>
    <w:qFormat/>
    <w:uiPriority w:val="0"/>
    <w:pPr>
      <w:keepNext/>
      <w:keepLines/>
      <w:spacing w:line="360" w:lineRule="auto"/>
      <w:ind w:firstLine="641"/>
      <w:outlineLvl w:val="2"/>
    </w:pPr>
    <w:rPr>
      <w:b/>
      <w:bCs/>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6">
    <w:name w:val="annotation text"/>
    <w:basedOn w:val="1"/>
    <w:link w:val="45"/>
    <w:qFormat/>
    <w:uiPriority w:val="0"/>
  </w:style>
  <w:style w:type="paragraph" w:styleId="7">
    <w:name w:val="Body Text"/>
    <w:basedOn w:val="1"/>
    <w:qFormat/>
    <w:uiPriority w:val="0"/>
    <w:rPr>
      <w:rFonts w:ascii="宋体" w:hAnsi="宋体" w:eastAsia="宋体" w:cs="宋体"/>
      <w:szCs w:val="32"/>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ind w:left="840" w:leftChars="400"/>
    </w:pPr>
  </w:style>
  <w:style w:type="paragraph" w:styleId="10">
    <w:name w:val="Body Text Indent 2"/>
    <w:basedOn w:val="1"/>
    <w:unhideWhenUsed/>
    <w:qFormat/>
    <w:uiPriority w:val="99"/>
    <w:pPr>
      <w:spacing w:after="120" w:line="480" w:lineRule="auto"/>
      <w:ind w:left="420" w:leftChars="200"/>
    </w:pPr>
  </w:style>
  <w:style w:type="paragraph" w:styleId="11">
    <w:name w:val="footer"/>
    <w:basedOn w:val="1"/>
    <w:link w:val="47"/>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rFonts w:ascii="DejaVu Sans" w:hAnsi="DejaVu Sans"/>
      <w:sz w:val="18"/>
    </w:rPr>
  </w:style>
  <w:style w:type="paragraph" w:styleId="13">
    <w:name w:val="toc 1"/>
    <w:basedOn w:val="1"/>
    <w:next w:val="1"/>
    <w:qFormat/>
    <w:uiPriority w:val="39"/>
    <w:pPr>
      <w:tabs>
        <w:tab w:val="right" w:leader="dot" w:pos="8495"/>
      </w:tabs>
      <w:adjustRightInd w:val="0"/>
      <w:snapToGrid w:val="0"/>
      <w:spacing w:line="360" w:lineRule="auto"/>
      <w:ind w:firstLine="0" w:firstLineChars="0"/>
    </w:pPr>
  </w:style>
  <w:style w:type="paragraph" w:styleId="14">
    <w:name w:val="toc 2"/>
    <w:basedOn w:val="1"/>
    <w:next w:val="1"/>
    <w:qFormat/>
    <w:uiPriority w:val="39"/>
    <w:pPr>
      <w:tabs>
        <w:tab w:val="right" w:leader="dot" w:pos="8495"/>
      </w:tabs>
      <w:adjustRightInd w:val="0"/>
      <w:snapToGrid w:val="0"/>
      <w:spacing w:line="360" w:lineRule="auto"/>
    </w:pPr>
  </w:style>
  <w:style w:type="paragraph" w:styleId="15">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16">
    <w:name w:val="annotation subject"/>
    <w:basedOn w:val="6"/>
    <w:next w:val="6"/>
    <w:link w:val="46"/>
    <w:qFormat/>
    <w:uiPriority w:val="0"/>
    <w:pPr>
      <w:jc w:val="left"/>
    </w:pPr>
    <w:rPr>
      <w:b/>
      <w:bCs/>
    </w:rPr>
  </w:style>
  <w:style w:type="paragraph" w:styleId="17">
    <w:name w:val="Body Text First Indent 2"/>
    <w:basedOn w:val="8"/>
    <w:qFormat/>
    <w:uiPriority w:val="0"/>
    <w:pPr>
      <w:ind w:firstLine="420"/>
    </w:p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qFormat/>
    <w:uiPriority w:val="0"/>
    <w:rPr>
      <w:sz w:val="21"/>
      <w:szCs w:val="21"/>
    </w:rPr>
  </w:style>
  <w:style w:type="paragraph" w:customStyle="1" w:styleId="22">
    <w:name w:val="表格字体"/>
    <w:basedOn w:val="1"/>
    <w:qFormat/>
    <w:uiPriority w:val="0"/>
    <w:pPr>
      <w:spacing w:line="240" w:lineRule="auto"/>
      <w:ind w:firstLine="0" w:firstLineChars="0"/>
      <w:jc w:val="left"/>
    </w:pPr>
    <w:rPr>
      <w:rFonts w:eastAsia="宋体"/>
      <w:sz w:val="24"/>
      <w:szCs w:val="21"/>
    </w:rPr>
  </w:style>
  <w:style w:type="paragraph" w:customStyle="1" w:styleId="23">
    <w:name w:val="一级标题"/>
    <w:basedOn w:val="7"/>
    <w:qFormat/>
    <w:uiPriority w:val="0"/>
  </w:style>
  <w:style w:type="paragraph" w:customStyle="1" w:styleId="24">
    <w:name w:val="闻政正文"/>
    <w:basedOn w:val="1"/>
    <w:qFormat/>
    <w:uiPriority w:val="0"/>
    <w:pPr>
      <w:spacing w:line="500" w:lineRule="exact"/>
      <w:ind w:firstLine="560"/>
    </w:pPr>
    <w:rPr>
      <w:kern w:val="0"/>
      <w:sz w:val="28"/>
      <w:szCs w:val="28"/>
    </w:rPr>
  </w:style>
  <w:style w:type="paragraph" w:customStyle="1" w:styleId="25">
    <w:name w:val="闻政标题5"/>
    <w:basedOn w:val="1"/>
    <w:qFormat/>
    <w:uiPriority w:val="0"/>
    <w:pPr>
      <w:spacing w:before="120" w:after="60" w:line="500" w:lineRule="exact"/>
      <w:ind w:firstLine="200"/>
    </w:pPr>
    <w:rPr>
      <w:b/>
      <w:kern w:val="0"/>
      <w:sz w:val="28"/>
      <w:szCs w:val="28"/>
    </w:rPr>
  </w:style>
  <w:style w:type="paragraph" w:customStyle="1" w:styleId="26">
    <w:name w:val="闻政表"/>
    <w:basedOn w:val="1"/>
    <w:qFormat/>
    <w:uiPriority w:val="0"/>
    <w:pPr>
      <w:spacing w:before="60" w:after="60"/>
      <w:jc w:val="center"/>
    </w:pPr>
    <w:rPr>
      <w:b/>
      <w:kern w:val="0"/>
      <w:sz w:val="24"/>
      <w:szCs w:val="28"/>
    </w:rPr>
  </w:style>
  <w:style w:type="character" w:customStyle="1" w:styleId="27">
    <w:name w:val="font01"/>
    <w:basedOn w:val="19"/>
    <w:qFormat/>
    <w:uiPriority w:val="0"/>
    <w:rPr>
      <w:rFonts w:hint="default" w:ascii="MingLiU" w:hAnsi="MingLiU" w:eastAsia="MingLiU" w:cs="MingLiU"/>
      <w:color w:val="000000"/>
      <w:sz w:val="18"/>
      <w:szCs w:val="18"/>
      <w:u w:val="none"/>
    </w:rPr>
  </w:style>
  <w:style w:type="paragraph" w:customStyle="1" w:styleId="28">
    <w:name w:val="WA_标题4"/>
    <w:basedOn w:val="29"/>
    <w:next w:val="1"/>
    <w:qFormat/>
    <w:uiPriority w:val="0"/>
    <w:pPr>
      <w:numPr>
        <w:ilvl w:val="3"/>
      </w:numPr>
      <w:outlineLvl w:val="3"/>
    </w:pPr>
    <w:rPr>
      <w:sz w:val="24"/>
    </w:rPr>
  </w:style>
  <w:style w:type="paragraph" w:customStyle="1" w:styleId="29">
    <w:name w:val="WA_标题3"/>
    <w:basedOn w:val="30"/>
    <w:next w:val="1"/>
    <w:qFormat/>
    <w:uiPriority w:val="0"/>
    <w:pPr>
      <w:numPr>
        <w:ilvl w:val="2"/>
      </w:numPr>
      <w:outlineLvl w:val="2"/>
    </w:pPr>
    <w:rPr>
      <w:sz w:val="28"/>
    </w:rPr>
  </w:style>
  <w:style w:type="paragraph" w:customStyle="1" w:styleId="30">
    <w:name w:val="WA_标题2"/>
    <w:basedOn w:val="31"/>
    <w:next w:val="1"/>
    <w:qFormat/>
    <w:uiPriority w:val="0"/>
    <w:pPr>
      <w:numPr>
        <w:ilvl w:val="1"/>
      </w:numPr>
      <w:outlineLvl w:val="1"/>
    </w:pPr>
    <w:rPr>
      <w:sz w:val="32"/>
    </w:rPr>
  </w:style>
  <w:style w:type="paragraph" w:customStyle="1" w:styleId="31">
    <w:name w:val="WA_标题1"/>
    <w:basedOn w:val="3"/>
    <w:next w:val="1"/>
    <w:qFormat/>
    <w:uiPriority w:val="0"/>
    <w:pPr>
      <w:numPr>
        <w:ilvl w:val="0"/>
        <w:numId w:val="1"/>
      </w:numPr>
      <w:spacing w:before="120" w:after="120"/>
    </w:pPr>
    <w:rPr>
      <w:sz w:val="36"/>
    </w:rPr>
  </w:style>
  <w:style w:type="character" w:customStyle="1" w:styleId="32">
    <w:name w:val="font112"/>
    <w:basedOn w:val="19"/>
    <w:qFormat/>
    <w:uiPriority w:val="0"/>
    <w:rPr>
      <w:rFonts w:hint="default" w:ascii="MingLiU" w:hAnsi="MingLiU" w:eastAsia="MingLiU" w:cs="MingLiU"/>
      <w:b/>
      <w:color w:val="000000"/>
      <w:sz w:val="18"/>
      <w:szCs w:val="18"/>
      <w:u w:val="none"/>
    </w:rPr>
  </w:style>
  <w:style w:type="character" w:customStyle="1" w:styleId="33">
    <w:name w:val="font71"/>
    <w:basedOn w:val="19"/>
    <w:qFormat/>
    <w:uiPriority w:val="0"/>
    <w:rPr>
      <w:rFonts w:hint="default" w:ascii="MingLiU" w:hAnsi="MingLiU" w:eastAsia="MingLiU" w:cs="MingLiU"/>
      <w:color w:val="000000"/>
      <w:sz w:val="18"/>
      <w:szCs w:val="18"/>
      <w:u w:val="none"/>
    </w:rPr>
  </w:style>
  <w:style w:type="character" w:customStyle="1" w:styleId="34">
    <w:name w:val="font81"/>
    <w:basedOn w:val="19"/>
    <w:qFormat/>
    <w:uiPriority w:val="0"/>
    <w:rPr>
      <w:rFonts w:hint="eastAsia" w:ascii="方正书宋_GBK" w:hAnsi="方正书宋_GBK" w:eastAsia="方正书宋_GBK" w:cs="方正书宋_GBK"/>
      <w:color w:val="002060"/>
      <w:sz w:val="20"/>
      <w:szCs w:val="20"/>
      <w:u w:val="none"/>
    </w:rPr>
  </w:style>
  <w:style w:type="character" w:customStyle="1" w:styleId="35">
    <w:name w:val="font101"/>
    <w:basedOn w:val="19"/>
    <w:qFormat/>
    <w:uiPriority w:val="0"/>
    <w:rPr>
      <w:rFonts w:ascii="Arial" w:hAnsi="Arial" w:cs="Arial"/>
      <w:color w:val="002060"/>
      <w:sz w:val="20"/>
      <w:szCs w:val="20"/>
      <w:u w:val="none"/>
    </w:rPr>
  </w:style>
  <w:style w:type="character" w:customStyle="1" w:styleId="36">
    <w:name w:val="font11"/>
    <w:basedOn w:val="19"/>
    <w:qFormat/>
    <w:uiPriority w:val="0"/>
    <w:rPr>
      <w:rFonts w:ascii="Courier New" w:hAnsi="Courier New" w:cs="Courier New"/>
      <w:color w:val="000000"/>
      <w:sz w:val="18"/>
      <w:szCs w:val="18"/>
      <w:u w:val="none"/>
    </w:rPr>
  </w:style>
  <w:style w:type="character" w:customStyle="1" w:styleId="37">
    <w:name w:val="font31"/>
    <w:basedOn w:val="19"/>
    <w:qFormat/>
    <w:uiPriority w:val="0"/>
    <w:rPr>
      <w:rFonts w:ascii="宋体" w:hAnsi="宋体" w:eastAsia="宋体" w:cs="宋体"/>
      <w:color w:val="000000"/>
      <w:sz w:val="18"/>
      <w:szCs w:val="18"/>
      <w:u w:val="none"/>
    </w:rPr>
  </w:style>
  <w:style w:type="character" w:customStyle="1" w:styleId="38">
    <w:name w:val="bjh-p"/>
    <w:basedOn w:val="19"/>
    <w:qFormat/>
    <w:uiPriority w:val="0"/>
  </w:style>
  <w:style w:type="character" w:customStyle="1" w:styleId="39">
    <w:name w:val="font41"/>
    <w:basedOn w:val="19"/>
    <w:qFormat/>
    <w:uiPriority w:val="0"/>
    <w:rPr>
      <w:rFonts w:hint="eastAsia" w:ascii="仿宋_GB2312" w:eastAsia="仿宋_GB2312" w:cs="仿宋_GB2312"/>
      <w:color w:val="000000"/>
      <w:sz w:val="22"/>
      <w:szCs w:val="22"/>
      <w:u w:val="none"/>
    </w:rPr>
  </w:style>
  <w:style w:type="character" w:customStyle="1" w:styleId="40">
    <w:name w:val="font61"/>
    <w:basedOn w:val="19"/>
    <w:qFormat/>
    <w:uiPriority w:val="0"/>
    <w:rPr>
      <w:rFonts w:hint="default" w:ascii="Times New Roman" w:hAnsi="Times New Roman" w:cs="Times New Roman"/>
      <w:color w:val="000000"/>
      <w:sz w:val="22"/>
      <w:szCs w:val="22"/>
      <w:u w:val="none"/>
    </w:rPr>
  </w:style>
  <w:style w:type="character" w:customStyle="1" w:styleId="41">
    <w:name w:val="font51"/>
    <w:basedOn w:val="19"/>
    <w:qFormat/>
    <w:uiPriority w:val="0"/>
    <w:rPr>
      <w:rFonts w:hint="eastAsia" w:ascii="宋体" w:hAnsi="宋体" w:eastAsia="宋体" w:cs="宋体"/>
      <w:b/>
      <w:bCs/>
      <w:color w:val="000000"/>
      <w:sz w:val="20"/>
      <w:szCs w:val="20"/>
      <w:u w:val="none"/>
    </w:rPr>
  </w:style>
  <w:style w:type="table" w:customStyle="1" w:styleId="42">
    <w:name w:val="Table Normal"/>
    <w:semiHidden/>
    <w:unhideWhenUsed/>
    <w:qFormat/>
    <w:uiPriority w:val="0"/>
    <w:tblPr>
      <w:tblCellMar>
        <w:top w:w="0" w:type="dxa"/>
        <w:left w:w="0" w:type="dxa"/>
        <w:bottom w:w="0" w:type="dxa"/>
        <w:right w:w="0" w:type="dxa"/>
      </w:tblCellMar>
    </w:tblPr>
  </w:style>
  <w:style w:type="character" w:customStyle="1" w:styleId="43">
    <w:name w:val="font21"/>
    <w:basedOn w:val="19"/>
    <w:qFormat/>
    <w:uiPriority w:val="0"/>
    <w:rPr>
      <w:rFonts w:hint="eastAsia" w:ascii="宋体" w:hAnsi="宋体" w:eastAsia="宋体" w:cs="宋体"/>
      <w:color w:val="000000"/>
      <w:sz w:val="24"/>
      <w:szCs w:val="24"/>
      <w:u w:val="none"/>
    </w:rPr>
  </w:style>
  <w:style w:type="paragraph" w:customStyle="1" w:styleId="44">
    <w:name w:val="Revision"/>
    <w:hidden/>
    <w:unhideWhenUsed/>
    <w:qFormat/>
    <w:uiPriority w:val="99"/>
    <w:rPr>
      <w:rFonts w:ascii="Times New Roman" w:hAnsi="Times New Roman" w:eastAsia="仿宋_GB2312" w:cs="Times New Roman"/>
      <w:kern w:val="2"/>
      <w:sz w:val="32"/>
      <w:szCs w:val="24"/>
      <w:lang w:val="en-US" w:eastAsia="zh-CN" w:bidi="ar-SA"/>
    </w:rPr>
  </w:style>
  <w:style w:type="character" w:customStyle="1" w:styleId="45">
    <w:name w:val="批注文字 字符"/>
    <w:basedOn w:val="19"/>
    <w:link w:val="6"/>
    <w:qFormat/>
    <w:uiPriority w:val="0"/>
    <w:rPr>
      <w:rFonts w:eastAsia="仿宋_GB2312"/>
      <w:kern w:val="2"/>
      <w:sz w:val="32"/>
      <w:szCs w:val="24"/>
    </w:rPr>
  </w:style>
  <w:style w:type="character" w:customStyle="1" w:styleId="46">
    <w:name w:val="批注主题 字符"/>
    <w:basedOn w:val="45"/>
    <w:link w:val="16"/>
    <w:qFormat/>
    <w:uiPriority w:val="0"/>
    <w:rPr>
      <w:rFonts w:eastAsia="仿宋_GB2312"/>
      <w:b/>
      <w:bCs/>
      <w:kern w:val="2"/>
      <w:sz w:val="32"/>
      <w:szCs w:val="24"/>
    </w:rPr>
  </w:style>
  <w:style w:type="character" w:customStyle="1" w:styleId="47">
    <w:name w:val="页脚 字符"/>
    <w:basedOn w:val="19"/>
    <w:link w:val="11"/>
    <w:qFormat/>
    <w:uiPriority w:val="99"/>
    <w:rPr>
      <w:rFonts w:eastAsia="仿宋_GB2312"/>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43</Pages>
  <Words>3067</Words>
  <Characters>17484</Characters>
  <Lines>145</Lines>
  <Paragraphs>41</Paragraphs>
  <TotalTime>329</TotalTime>
  <ScaleCrop>false</ScaleCrop>
  <LinksUpToDate>false</LinksUpToDate>
  <CharactersWithSpaces>20510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2021-06-30T01:04:00Z</dcterms:created>
  <dc:creator>Administrator</dc:creator>
  <cp:lastModifiedBy>占月</cp:lastModifiedBy>
  <dcterms:modified xsi:type="dcterms:W3CDTF">2025-05-08T16:36:17Z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B59EA84A6DF443E59C358469BE41B00F_13</vt:lpwstr>
  </property>
</Properties>
</file>