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utoSpaceDE w:val="0"/>
        <w:autoSpaceDN w:val="0"/>
        <w:ind w:firstLine="0" w:firstLineChars="0"/>
        <w:jc w:val="center"/>
        <w:rPr>
          <w:rFonts w:ascii="仿宋_GB2312"/>
          <w:b/>
          <w:w w:val="95"/>
          <w:sz w:val="24"/>
        </w:rPr>
      </w:pPr>
    </w:p>
    <w:p>
      <w:pPr>
        <w:pStyle w:val="10"/>
        <w:spacing w:after="0" w:line="560" w:lineRule="exact"/>
        <w:ind w:left="640" w:firstLine="456"/>
        <w:rPr>
          <w:rFonts w:ascii="仿宋_GB2312"/>
          <w:b/>
          <w:w w:val="95"/>
          <w:sz w:val="24"/>
        </w:rPr>
      </w:pPr>
    </w:p>
    <w:p>
      <w:pPr>
        <w:pStyle w:val="10"/>
        <w:spacing w:after="0" w:line="560" w:lineRule="exact"/>
        <w:ind w:left="0" w:leftChars="0" w:firstLine="0" w:firstLineChars="0"/>
        <w:rPr>
          <w:rFonts w:ascii="仿宋_GB2312"/>
          <w:b/>
          <w:w w:val="95"/>
          <w:sz w:val="24"/>
        </w:rPr>
      </w:pPr>
    </w:p>
    <w:p>
      <w:pPr>
        <w:pStyle w:val="10"/>
        <w:spacing w:after="0" w:line="560" w:lineRule="exact"/>
        <w:ind w:left="0" w:leftChars="0" w:firstLine="0" w:firstLineChars="0"/>
        <w:rPr>
          <w:rFonts w:ascii="仿宋_GB2312"/>
          <w:b/>
          <w:w w:val="95"/>
          <w:sz w:val="24"/>
        </w:rPr>
      </w:pPr>
    </w:p>
    <w:p>
      <w:pPr>
        <w:pStyle w:val="7"/>
        <w:keepNext w:val="0"/>
        <w:keepLines w:val="0"/>
        <w:pageBreakBefore w:val="0"/>
        <w:widowControl w:val="0"/>
        <w:kinsoku/>
        <w:wordWrap/>
        <w:overflowPunct/>
        <w:topLinePunct w:val="0"/>
        <w:autoSpaceDE/>
        <w:autoSpaceDN/>
        <w:bidi w:val="0"/>
        <w:adjustRightInd/>
        <w:snapToGrid/>
        <w:ind w:firstLine="880"/>
        <w:jc w:val="center"/>
        <w:textAlignment w:val="auto"/>
        <w:rPr>
          <w:rFonts w:hint="eastAsia" w:ascii="方正小标宋简体" w:hAnsi="Times New Roman" w:eastAsia="方正小标宋简体" w:cs="Times New Roman"/>
          <w:bCs/>
          <w:sz w:val="44"/>
          <w:szCs w:val="44"/>
        </w:rPr>
      </w:pPr>
      <w:bookmarkStart w:id="0" w:name="_Toc3480"/>
      <w:bookmarkStart w:id="1" w:name="_Toc22442"/>
      <w:r>
        <w:rPr>
          <w:rFonts w:hint="eastAsia" w:ascii="方正小标宋简体" w:hAnsi="Times New Roman" w:eastAsia="方正小标宋简体" w:cs="Times New Roman"/>
          <w:bCs/>
          <w:sz w:val="44"/>
          <w:szCs w:val="44"/>
        </w:rPr>
        <w:t>海南省交通运输厅</w:t>
      </w:r>
    </w:p>
    <w:p>
      <w:pPr>
        <w:pStyle w:val="7"/>
        <w:keepNext w:val="0"/>
        <w:keepLines w:val="0"/>
        <w:pageBreakBefore w:val="0"/>
        <w:widowControl w:val="0"/>
        <w:kinsoku/>
        <w:wordWrap/>
        <w:overflowPunct/>
        <w:topLinePunct w:val="0"/>
        <w:autoSpaceDE/>
        <w:autoSpaceDN/>
        <w:bidi w:val="0"/>
        <w:adjustRightInd/>
        <w:snapToGrid/>
        <w:ind w:firstLine="880"/>
        <w:jc w:val="center"/>
        <w:textAlignment w:val="auto"/>
        <w:rPr>
          <w:rFonts w:ascii="方正小标宋简体" w:hAnsi="Times New Roman" w:eastAsia="方正小标宋简体" w:cs="Times New Roman"/>
          <w:bCs/>
          <w:sz w:val="44"/>
          <w:szCs w:val="44"/>
        </w:rPr>
      </w:pPr>
      <w:r>
        <w:rPr>
          <w:rFonts w:hint="eastAsia" w:ascii="方正小标宋简体" w:hAnsi="Times New Roman" w:eastAsia="方正小标宋简体" w:cs="Times New Roman"/>
          <w:bCs/>
          <w:sz w:val="44"/>
          <w:szCs w:val="44"/>
        </w:rPr>
        <w:t>2024年省道S</w:t>
      </w:r>
      <w:bookmarkStart w:id="161" w:name="_GoBack"/>
      <w:bookmarkEnd w:id="161"/>
      <w:r>
        <w:rPr>
          <w:rFonts w:hint="eastAsia" w:ascii="方正小标宋简体" w:hAnsi="Times New Roman" w:eastAsia="方正小标宋简体" w:cs="Times New Roman"/>
          <w:bCs/>
          <w:sz w:val="44"/>
          <w:szCs w:val="44"/>
        </w:rPr>
        <w:t>303屯大线雨水岭大道至大拉段改建工程绩效评价报告</w:t>
      </w:r>
      <w:bookmarkEnd w:id="0"/>
      <w:bookmarkEnd w:id="1"/>
    </w:p>
    <w:p>
      <w:pPr>
        <w:pStyle w:val="7"/>
        <w:keepNext w:val="0"/>
        <w:keepLines w:val="0"/>
        <w:pageBreakBefore w:val="0"/>
        <w:widowControl w:val="0"/>
        <w:kinsoku/>
        <w:wordWrap/>
        <w:overflowPunct/>
        <w:topLinePunct w:val="0"/>
        <w:autoSpaceDE/>
        <w:autoSpaceDN/>
        <w:bidi w:val="0"/>
        <w:adjustRightInd/>
        <w:snapToGrid/>
        <w:ind w:firstLine="723"/>
        <w:textAlignment w:val="auto"/>
        <w:rPr>
          <w:rFonts w:ascii="仿宋_GB2312" w:hAnsi="Times New Roman" w:eastAsia="仿宋_GB2312" w:cs="Times New Roman"/>
          <w:b/>
          <w:sz w:val="36"/>
        </w:rPr>
      </w:pPr>
    </w:p>
    <w:p>
      <w:pPr>
        <w:pStyle w:val="7"/>
        <w:ind w:firstLine="723"/>
        <w:rPr>
          <w:rFonts w:ascii="仿宋_GB2312" w:hAnsi="Times New Roman" w:eastAsia="仿宋_GB2312" w:cs="Times New Roman"/>
          <w:b/>
          <w:sz w:val="36"/>
        </w:rPr>
      </w:pPr>
    </w:p>
    <w:p>
      <w:pPr>
        <w:pStyle w:val="7"/>
        <w:ind w:firstLine="723"/>
        <w:rPr>
          <w:rFonts w:ascii="仿宋_GB2312" w:hAnsi="Times New Roman" w:eastAsia="仿宋_GB2312" w:cs="Times New Roman"/>
          <w:b/>
          <w:sz w:val="36"/>
        </w:rPr>
      </w:pPr>
    </w:p>
    <w:p>
      <w:pPr>
        <w:pStyle w:val="7"/>
        <w:ind w:firstLine="723"/>
        <w:rPr>
          <w:rFonts w:ascii="仿宋_GB2312" w:hAnsi="Times New Roman" w:eastAsia="仿宋_GB2312" w:cs="Times New Roman"/>
          <w:b/>
          <w:sz w:val="36"/>
        </w:rPr>
      </w:pPr>
    </w:p>
    <w:p>
      <w:pPr>
        <w:pStyle w:val="7"/>
        <w:ind w:firstLine="723"/>
        <w:rPr>
          <w:rFonts w:ascii="仿宋_GB2312" w:hAnsi="Times New Roman" w:eastAsia="仿宋_GB2312" w:cs="Times New Roman"/>
          <w:b/>
          <w:sz w:val="36"/>
        </w:rPr>
      </w:pPr>
    </w:p>
    <w:p>
      <w:pPr>
        <w:pStyle w:val="7"/>
        <w:ind w:firstLine="723"/>
        <w:rPr>
          <w:rFonts w:ascii="仿宋_GB2312" w:hAnsi="Times New Roman" w:eastAsia="仿宋_GB2312" w:cs="Times New Roman"/>
          <w:b/>
          <w:sz w:val="36"/>
        </w:rPr>
      </w:pPr>
    </w:p>
    <w:p>
      <w:pPr>
        <w:pStyle w:val="7"/>
        <w:ind w:firstLine="723"/>
        <w:rPr>
          <w:rFonts w:ascii="仿宋_GB2312" w:hAnsi="Times New Roman" w:eastAsia="仿宋_GB2312" w:cs="Times New Roman"/>
          <w:b/>
          <w:sz w:val="36"/>
        </w:rPr>
      </w:pPr>
    </w:p>
    <w:p>
      <w:pPr>
        <w:pStyle w:val="7"/>
        <w:ind w:firstLine="723"/>
        <w:rPr>
          <w:rFonts w:ascii="仿宋_GB2312" w:hAnsi="Times New Roman" w:eastAsia="仿宋_GB2312" w:cs="Times New Roman"/>
          <w:b/>
          <w:sz w:val="36"/>
        </w:rPr>
      </w:pPr>
    </w:p>
    <w:p>
      <w:pPr>
        <w:pStyle w:val="7"/>
        <w:ind w:firstLine="723"/>
        <w:rPr>
          <w:rFonts w:ascii="仿宋_GB2312" w:hAnsi="Times New Roman" w:eastAsia="仿宋_GB2312" w:cs="Times New Roman"/>
          <w:b/>
          <w:sz w:val="36"/>
        </w:rPr>
      </w:pPr>
    </w:p>
    <w:p>
      <w:pPr>
        <w:pStyle w:val="7"/>
        <w:ind w:firstLine="723"/>
        <w:rPr>
          <w:rFonts w:ascii="仿宋_GB2312" w:hAnsi="Times New Roman" w:eastAsia="仿宋_GB2312" w:cs="Times New Roman"/>
          <w:b/>
          <w:sz w:val="36"/>
        </w:rPr>
      </w:pPr>
    </w:p>
    <w:p>
      <w:pPr>
        <w:pStyle w:val="7"/>
        <w:ind w:firstLine="723"/>
        <w:rPr>
          <w:rFonts w:ascii="仿宋_GB2312" w:hAnsi="Times New Roman" w:eastAsia="仿宋_GB2312" w:cs="Times New Roman"/>
          <w:b/>
          <w:sz w:val="36"/>
        </w:rPr>
      </w:pPr>
    </w:p>
    <w:p>
      <w:pPr>
        <w:pStyle w:val="7"/>
        <w:ind w:firstLine="723"/>
        <w:rPr>
          <w:rFonts w:ascii="仿宋_GB2312" w:hAnsi="Times New Roman" w:eastAsia="仿宋_GB2312" w:cs="Times New Roman"/>
          <w:b/>
          <w:sz w:val="36"/>
        </w:rPr>
      </w:pPr>
    </w:p>
    <w:p>
      <w:pPr>
        <w:pStyle w:val="7"/>
        <w:ind w:firstLine="723"/>
        <w:rPr>
          <w:rFonts w:ascii="仿宋_GB2312" w:hAnsi="Times New Roman" w:eastAsia="仿宋_GB2312" w:cs="Times New Roman"/>
          <w:b/>
          <w:sz w:val="36"/>
        </w:rPr>
      </w:pPr>
    </w:p>
    <w:p>
      <w:pPr>
        <w:pStyle w:val="7"/>
        <w:ind w:firstLine="723"/>
        <w:rPr>
          <w:rFonts w:ascii="仿宋_GB2312" w:hAnsi="Times New Roman" w:eastAsia="仿宋_GB2312" w:cs="Times New Roman"/>
          <w:b/>
          <w:sz w:val="36"/>
        </w:rPr>
      </w:pPr>
    </w:p>
    <w:p>
      <w:pPr>
        <w:tabs>
          <w:tab w:val="left" w:pos="4709"/>
          <w:tab w:val="left" w:pos="5830"/>
          <w:tab w:val="left" w:pos="6188"/>
        </w:tabs>
        <w:autoSpaceDE w:val="0"/>
        <w:autoSpaceDN w:val="0"/>
        <w:ind w:firstLine="0" w:firstLineChars="0"/>
        <w:jc w:val="center"/>
        <w:rPr>
          <w:rFonts w:hint="eastAsia" w:ascii="黑体" w:hAnsi="黑体" w:eastAsia="黑体"/>
          <w:b/>
          <w:kern w:val="0"/>
          <w:szCs w:val="32"/>
        </w:rPr>
      </w:pPr>
      <w:r>
        <w:rPr>
          <w:rFonts w:hint="eastAsia" w:ascii="黑体" w:hAnsi="黑体" w:eastAsia="黑体"/>
          <w:b/>
          <w:kern w:val="0"/>
          <w:szCs w:val="32"/>
        </w:rPr>
        <w:t>海南省交通运输厅</w:t>
      </w:r>
    </w:p>
    <w:p>
      <w:pPr>
        <w:pStyle w:val="5"/>
        <w:ind w:firstLine="643"/>
        <w:rPr>
          <w:rFonts w:hint="eastAsia" w:ascii="黑体" w:hAnsi="黑体" w:eastAsia="黑体"/>
          <w:b/>
          <w:kern w:val="0"/>
          <w:szCs w:val="32"/>
        </w:rPr>
      </w:pPr>
    </w:p>
    <w:p>
      <w:pPr>
        <w:ind w:firstLine="0" w:firstLineChars="0"/>
        <w:jc w:val="center"/>
        <w:rPr>
          <w:rFonts w:ascii="仿宋_GB2312"/>
          <w:szCs w:val="32"/>
        </w:rPr>
        <w:sectPr>
          <w:headerReference r:id="rId7" w:type="first"/>
          <w:footerReference r:id="rId10" w:type="first"/>
          <w:headerReference r:id="rId5" w:type="default"/>
          <w:footerReference r:id="rId8" w:type="default"/>
          <w:headerReference r:id="rId6" w:type="even"/>
          <w:footerReference r:id="rId9" w:type="even"/>
          <w:pgSz w:w="11906" w:h="16838"/>
          <w:pgMar w:top="1440" w:right="1797" w:bottom="1440" w:left="1797" w:header="851" w:footer="992" w:gutter="0"/>
          <w:pgNumType w:start="1"/>
          <w:cols w:space="0" w:num="1"/>
          <w:docGrid w:type="lines" w:linePitch="435" w:charSpace="0"/>
        </w:sectPr>
      </w:pPr>
      <w:bookmarkStart w:id="2" w:name="_Hlk198479623"/>
      <w:r>
        <w:rPr>
          <w:rFonts w:hint="eastAsia" w:ascii="黑体" w:hAnsi="黑体" w:eastAsia="黑体"/>
          <w:b/>
          <w:kern w:val="0"/>
          <w:szCs w:val="32"/>
        </w:rPr>
        <w:t>二</w:t>
      </w:r>
      <w:r>
        <w:rPr>
          <w:rFonts w:hint="eastAsia" w:ascii="黑体" w:hAnsi="黑体" w:eastAsia="黑体" w:cs="微软雅黑"/>
          <w:bCs/>
          <w:kern w:val="0"/>
          <w:szCs w:val="32"/>
        </w:rPr>
        <w:t>〇</w:t>
      </w:r>
      <w:r>
        <w:rPr>
          <w:rFonts w:hint="eastAsia" w:ascii="黑体" w:hAnsi="黑体" w:eastAsia="黑体"/>
          <w:bCs/>
          <w:kern w:val="0"/>
          <w:szCs w:val="32"/>
        </w:rPr>
        <w:t>二五</w:t>
      </w:r>
      <w:bookmarkEnd w:id="2"/>
      <w:r>
        <w:rPr>
          <w:rFonts w:hint="eastAsia" w:ascii="黑体" w:hAnsi="黑体" w:eastAsia="黑体"/>
          <w:b/>
          <w:kern w:val="0"/>
          <w:szCs w:val="32"/>
        </w:rPr>
        <w:t>年五月</w:t>
      </w:r>
    </w:p>
    <w:sdt>
      <w:sdtPr>
        <w:rPr>
          <w:rFonts w:hint="eastAsia" w:ascii="仿宋_GB2312"/>
          <w:b/>
          <w:bCs/>
          <w:sz w:val="36"/>
          <w:szCs w:val="44"/>
        </w:rPr>
        <w:id w:val="11936232"/>
        <w15:color w:val="DBDBDB"/>
      </w:sdtPr>
      <w:sdtEndPr>
        <w:rPr>
          <w:rFonts w:hint="eastAsia" w:ascii="仿宋_GB2312"/>
          <w:b/>
          <w:bCs/>
          <w:sz w:val="32"/>
          <w:szCs w:val="24"/>
        </w:rPr>
      </w:sdtEndPr>
      <w:sdtContent>
        <w:p>
          <w:pPr>
            <w:ind w:firstLine="0" w:firstLineChars="0"/>
            <w:jc w:val="center"/>
            <w:rPr>
              <w:rFonts w:ascii="仿宋_GB2312"/>
              <w:b/>
              <w:bCs/>
              <w:sz w:val="52"/>
              <w:szCs w:val="44"/>
            </w:rPr>
          </w:pPr>
          <w:r>
            <w:rPr>
              <w:rFonts w:hint="eastAsia" w:ascii="仿宋_GB2312"/>
              <w:b/>
              <w:bCs/>
              <w:sz w:val="36"/>
              <w:szCs w:val="44"/>
            </w:rPr>
            <w:t>目录</w:t>
          </w:r>
        </w:p>
        <w:p>
          <w:pPr>
            <w:pStyle w:val="13"/>
            <w:tabs>
              <w:tab w:val="right" w:leader="dot" w:pos="8505"/>
            </w:tabs>
            <w:ind w:firstLine="0" w:firstLineChars="0"/>
            <w:rPr>
              <w:rFonts w:hint="eastAsia" w:ascii="仿宋_GB2312" w:hAnsi="仿宋" w:cs="仿宋"/>
              <w:sz w:val="28"/>
              <w:szCs w:val="28"/>
            </w:rPr>
          </w:pPr>
          <w:r>
            <w:rPr>
              <w:rFonts w:hint="eastAsia" w:ascii="仿宋_GB2312"/>
              <w:sz w:val="28"/>
              <w:szCs w:val="28"/>
            </w:rPr>
            <w:fldChar w:fldCharType="begin"/>
          </w:r>
          <w:r>
            <w:rPr>
              <w:rFonts w:hint="eastAsia" w:ascii="仿宋_GB2312"/>
              <w:sz w:val="28"/>
              <w:szCs w:val="28"/>
            </w:rPr>
            <w:instrText xml:space="preserve">TOC \o "1-3" \h \u </w:instrText>
          </w:r>
          <w:r>
            <w:rPr>
              <w:rFonts w:hint="eastAsia" w:ascii="仿宋_GB2312"/>
              <w:sz w:val="28"/>
              <w:szCs w:val="28"/>
            </w:rPr>
            <w:fldChar w:fldCharType="separate"/>
          </w:r>
          <w:r>
            <w:fldChar w:fldCharType="begin"/>
          </w:r>
          <w:r>
            <w:instrText xml:space="preserve"> HYPERLINK \l "_Toc333" </w:instrText>
          </w:r>
          <w:r>
            <w:fldChar w:fldCharType="separate"/>
          </w:r>
          <w:r>
            <w:rPr>
              <w:rFonts w:hint="eastAsia" w:ascii="仿宋_GB2312" w:hAnsi="仿宋" w:cs="仿宋"/>
              <w:sz w:val="28"/>
              <w:szCs w:val="28"/>
            </w:rPr>
            <w:t>一、基本情况</w:t>
          </w:r>
          <w:r>
            <w:rPr>
              <w:rFonts w:hint="eastAsia" w:ascii="仿宋_GB2312" w:hAnsi="仿宋" w:cs="仿宋"/>
              <w:sz w:val="28"/>
              <w:szCs w:val="28"/>
            </w:rPr>
            <w:tab/>
          </w:r>
          <w:r>
            <w:rPr>
              <w:rFonts w:hint="eastAsia" w:ascii="仿宋_GB2312" w:hAnsi="仿宋" w:cs="仿宋"/>
              <w:sz w:val="28"/>
              <w:szCs w:val="28"/>
            </w:rPr>
            <w:fldChar w:fldCharType="begin"/>
          </w:r>
          <w:r>
            <w:rPr>
              <w:rFonts w:hint="eastAsia" w:ascii="仿宋_GB2312" w:hAnsi="仿宋" w:cs="仿宋"/>
              <w:sz w:val="28"/>
              <w:szCs w:val="28"/>
            </w:rPr>
            <w:instrText xml:space="preserve"> PAGEREF _Toc333 \h </w:instrText>
          </w:r>
          <w:r>
            <w:rPr>
              <w:rFonts w:hint="eastAsia" w:ascii="仿宋_GB2312" w:hAnsi="仿宋" w:cs="仿宋"/>
              <w:sz w:val="28"/>
              <w:szCs w:val="28"/>
            </w:rPr>
            <w:fldChar w:fldCharType="separate"/>
          </w:r>
          <w:r>
            <w:rPr>
              <w:rFonts w:hint="eastAsia" w:ascii="仿宋_GB2312" w:hAnsi="仿宋" w:cs="仿宋"/>
              <w:sz w:val="28"/>
              <w:szCs w:val="28"/>
            </w:rPr>
            <w:t>1</w:t>
          </w:r>
          <w:r>
            <w:rPr>
              <w:rFonts w:hint="eastAsia" w:ascii="仿宋_GB2312" w:hAnsi="仿宋" w:cs="仿宋"/>
              <w:sz w:val="28"/>
              <w:szCs w:val="28"/>
            </w:rPr>
            <w:fldChar w:fldCharType="end"/>
          </w:r>
          <w:r>
            <w:rPr>
              <w:rFonts w:hint="eastAsia" w:ascii="仿宋_GB2312" w:hAnsi="仿宋" w:cs="仿宋"/>
              <w:sz w:val="28"/>
              <w:szCs w:val="28"/>
            </w:rPr>
            <w:fldChar w:fldCharType="end"/>
          </w:r>
        </w:p>
        <w:p>
          <w:pPr>
            <w:pStyle w:val="14"/>
            <w:tabs>
              <w:tab w:val="right" w:leader="dot" w:pos="8505"/>
            </w:tabs>
            <w:ind w:left="640" w:firstLine="0" w:firstLineChars="0"/>
            <w:rPr>
              <w:rFonts w:hint="eastAsia" w:ascii="仿宋_GB2312" w:hAnsi="仿宋" w:cs="仿宋"/>
              <w:sz w:val="28"/>
              <w:szCs w:val="28"/>
            </w:rPr>
          </w:pPr>
          <w:r>
            <w:fldChar w:fldCharType="begin"/>
          </w:r>
          <w:r>
            <w:instrText xml:space="preserve"> HYPERLINK \l "_Toc31497" </w:instrText>
          </w:r>
          <w:r>
            <w:fldChar w:fldCharType="separate"/>
          </w:r>
          <w:r>
            <w:rPr>
              <w:rFonts w:hint="eastAsia" w:ascii="仿宋_GB2312" w:hAnsi="仿宋" w:cs="仿宋"/>
              <w:sz w:val="28"/>
              <w:szCs w:val="28"/>
            </w:rPr>
            <w:t>（一</w:t>
          </w:r>
          <w:r>
            <w:rPr>
              <w:rFonts w:hint="eastAsia" w:ascii="仿宋_GB2312" w:hAnsi="仿宋" w:cs="仿宋"/>
              <w:spacing w:val="-29"/>
              <w:sz w:val="28"/>
              <w:szCs w:val="28"/>
            </w:rPr>
            <w:t>）</w:t>
          </w:r>
          <w:r>
            <w:rPr>
              <w:rFonts w:hint="eastAsia" w:ascii="仿宋_GB2312" w:hAnsi="仿宋" w:cs="仿宋"/>
              <w:spacing w:val="-9"/>
              <w:sz w:val="28"/>
              <w:szCs w:val="28"/>
            </w:rPr>
            <w:t>项目概况</w:t>
          </w:r>
          <w:r>
            <w:rPr>
              <w:rFonts w:hint="eastAsia" w:ascii="仿宋_GB2312" w:hAnsi="仿宋" w:cs="仿宋"/>
              <w:sz w:val="28"/>
              <w:szCs w:val="28"/>
            </w:rPr>
            <w:tab/>
          </w:r>
          <w:r>
            <w:rPr>
              <w:rFonts w:hint="eastAsia" w:ascii="仿宋_GB2312" w:hAnsi="仿宋" w:cs="仿宋"/>
              <w:sz w:val="28"/>
              <w:szCs w:val="28"/>
            </w:rPr>
            <w:fldChar w:fldCharType="begin"/>
          </w:r>
          <w:r>
            <w:rPr>
              <w:rFonts w:hint="eastAsia" w:ascii="仿宋_GB2312" w:hAnsi="仿宋" w:cs="仿宋"/>
              <w:sz w:val="28"/>
              <w:szCs w:val="28"/>
            </w:rPr>
            <w:instrText xml:space="preserve"> PAGEREF _Toc31497 \h </w:instrText>
          </w:r>
          <w:r>
            <w:rPr>
              <w:rFonts w:hint="eastAsia" w:ascii="仿宋_GB2312" w:hAnsi="仿宋" w:cs="仿宋"/>
              <w:sz w:val="28"/>
              <w:szCs w:val="28"/>
            </w:rPr>
            <w:fldChar w:fldCharType="separate"/>
          </w:r>
          <w:r>
            <w:rPr>
              <w:rFonts w:hint="eastAsia" w:ascii="仿宋_GB2312" w:hAnsi="仿宋" w:cs="仿宋"/>
              <w:sz w:val="28"/>
              <w:szCs w:val="28"/>
            </w:rPr>
            <w:t>1</w:t>
          </w:r>
          <w:r>
            <w:rPr>
              <w:rFonts w:hint="eastAsia" w:ascii="仿宋_GB2312" w:hAnsi="仿宋" w:cs="仿宋"/>
              <w:sz w:val="28"/>
              <w:szCs w:val="28"/>
            </w:rPr>
            <w:fldChar w:fldCharType="end"/>
          </w:r>
          <w:r>
            <w:rPr>
              <w:rFonts w:hint="eastAsia" w:ascii="仿宋_GB2312" w:hAnsi="仿宋" w:cs="仿宋"/>
              <w:sz w:val="28"/>
              <w:szCs w:val="28"/>
            </w:rPr>
            <w:fldChar w:fldCharType="end"/>
          </w:r>
        </w:p>
        <w:p>
          <w:pPr>
            <w:pStyle w:val="14"/>
            <w:tabs>
              <w:tab w:val="right" w:leader="dot" w:pos="8505"/>
            </w:tabs>
            <w:ind w:left="640" w:firstLine="0" w:firstLineChars="0"/>
            <w:rPr>
              <w:rFonts w:hint="eastAsia" w:ascii="仿宋_GB2312" w:hAnsi="仿宋" w:cs="仿宋"/>
              <w:sz w:val="28"/>
              <w:szCs w:val="28"/>
            </w:rPr>
          </w:pPr>
          <w:r>
            <w:fldChar w:fldCharType="begin"/>
          </w:r>
          <w:r>
            <w:instrText xml:space="preserve"> HYPERLINK \l "_Toc26424" </w:instrText>
          </w:r>
          <w:r>
            <w:fldChar w:fldCharType="separate"/>
          </w:r>
          <w:r>
            <w:rPr>
              <w:rFonts w:hint="eastAsia" w:ascii="仿宋_GB2312" w:hAnsi="仿宋" w:cs="仿宋"/>
              <w:sz w:val="28"/>
              <w:szCs w:val="28"/>
            </w:rPr>
            <w:t>（二）项目绩效目标</w:t>
          </w:r>
          <w:r>
            <w:rPr>
              <w:rFonts w:hint="eastAsia" w:ascii="仿宋_GB2312" w:hAnsi="仿宋" w:cs="仿宋"/>
              <w:sz w:val="28"/>
              <w:szCs w:val="28"/>
            </w:rPr>
            <w:tab/>
          </w:r>
          <w:r>
            <w:rPr>
              <w:rFonts w:hint="eastAsia" w:ascii="仿宋_GB2312" w:hAnsi="仿宋" w:cs="仿宋"/>
              <w:sz w:val="28"/>
              <w:szCs w:val="28"/>
            </w:rPr>
            <w:fldChar w:fldCharType="begin"/>
          </w:r>
          <w:r>
            <w:rPr>
              <w:rFonts w:hint="eastAsia" w:ascii="仿宋_GB2312" w:hAnsi="仿宋" w:cs="仿宋"/>
              <w:sz w:val="28"/>
              <w:szCs w:val="28"/>
            </w:rPr>
            <w:instrText xml:space="preserve"> PAGEREF _Toc26424 \h </w:instrText>
          </w:r>
          <w:r>
            <w:rPr>
              <w:rFonts w:hint="eastAsia" w:ascii="仿宋_GB2312" w:hAnsi="仿宋" w:cs="仿宋"/>
              <w:sz w:val="28"/>
              <w:szCs w:val="28"/>
            </w:rPr>
            <w:fldChar w:fldCharType="separate"/>
          </w:r>
          <w:r>
            <w:rPr>
              <w:rFonts w:hint="eastAsia" w:ascii="仿宋_GB2312" w:hAnsi="仿宋" w:cs="仿宋"/>
              <w:sz w:val="28"/>
              <w:szCs w:val="28"/>
            </w:rPr>
            <w:t>2</w:t>
          </w:r>
          <w:r>
            <w:rPr>
              <w:rFonts w:hint="eastAsia" w:ascii="仿宋_GB2312" w:hAnsi="仿宋" w:cs="仿宋"/>
              <w:sz w:val="28"/>
              <w:szCs w:val="28"/>
            </w:rPr>
            <w:fldChar w:fldCharType="end"/>
          </w:r>
          <w:r>
            <w:rPr>
              <w:rFonts w:hint="eastAsia" w:ascii="仿宋_GB2312" w:hAnsi="仿宋" w:cs="仿宋"/>
              <w:sz w:val="28"/>
              <w:szCs w:val="28"/>
            </w:rPr>
            <w:fldChar w:fldCharType="end"/>
          </w:r>
        </w:p>
        <w:p>
          <w:pPr>
            <w:pStyle w:val="13"/>
            <w:tabs>
              <w:tab w:val="right" w:leader="dot" w:pos="8505"/>
            </w:tabs>
            <w:ind w:firstLine="0" w:firstLineChars="0"/>
            <w:rPr>
              <w:rFonts w:hint="eastAsia" w:ascii="仿宋_GB2312" w:hAnsi="仿宋" w:cs="仿宋"/>
              <w:sz w:val="28"/>
              <w:szCs w:val="28"/>
            </w:rPr>
          </w:pPr>
          <w:r>
            <w:fldChar w:fldCharType="begin"/>
          </w:r>
          <w:r>
            <w:instrText xml:space="preserve"> HYPERLINK \l "_Toc17237" </w:instrText>
          </w:r>
          <w:r>
            <w:fldChar w:fldCharType="separate"/>
          </w:r>
          <w:r>
            <w:rPr>
              <w:rFonts w:hint="eastAsia" w:ascii="仿宋_GB2312" w:hAnsi="仿宋" w:cs="仿宋"/>
              <w:sz w:val="28"/>
              <w:szCs w:val="28"/>
            </w:rPr>
            <w:t>二、绩效评价工作开展情况</w:t>
          </w:r>
          <w:r>
            <w:rPr>
              <w:rFonts w:hint="eastAsia" w:ascii="仿宋_GB2312" w:hAnsi="仿宋" w:cs="仿宋"/>
              <w:sz w:val="28"/>
              <w:szCs w:val="28"/>
            </w:rPr>
            <w:tab/>
          </w:r>
          <w:r>
            <w:rPr>
              <w:rFonts w:hint="eastAsia" w:ascii="仿宋_GB2312" w:hAnsi="仿宋" w:cs="仿宋"/>
              <w:sz w:val="28"/>
              <w:szCs w:val="28"/>
            </w:rPr>
            <w:fldChar w:fldCharType="begin"/>
          </w:r>
          <w:r>
            <w:rPr>
              <w:rFonts w:hint="eastAsia" w:ascii="仿宋_GB2312" w:hAnsi="仿宋" w:cs="仿宋"/>
              <w:sz w:val="28"/>
              <w:szCs w:val="28"/>
            </w:rPr>
            <w:instrText xml:space="preserve"> PAGEREF _Toc17237 \h </w:instrText>
          </w:r>
          <w:r>
            <w:rPr>
              <w:rFonts w:hint="eastAsia" w:ascii="仿宋_GB2312" w:hAnsi="仿宋" w:cs="仿宋"/>
              <w:sz w:val="28"/>
              <w:szCs w:val="28"/>
            </w:rPr>
            <w:fldChar w:fldCharType="separate"/>
          </w:r>
          <w:r>
            <w:rPr>
              <w:rFonts w:hint="eastAsia" w:ascii="仿宋_GB2312" w:hAnsi="仿宋" w:cs="仿宋"/>
              <w:sz w:val="28"/>
              <w:szCs w:val="28"/>
            </w:rPr>
            <w:t>3</w:t>
          </w:r>
          <w:r>
            <w:rPr>
              <w:rFonts w:hint="eastAsia" w:ascii="仿宋_GB2312" w:hAnsi="仿宋" w:cs="仿宋"/>
              <w:sz w:val="28"/>
              <w:szCs w:val="28"/>
            </w:rPr>
            <w:fldChar w:fldCharType="end"/>
          </w:r>
          <w:r>
            <w:rPr>
              <w:rFonts w:hint="eastAsia" w:ascii="仿宋_GB2312" w:hAnsi="仿宋" w:cs="仿宋"/>
              <w:sz w:val="28"/>
              <w:szCs w:val="28"/>
            </w:rPr>
            <w:fldChar w:fldCharType="end"/>
          </w:r>
        </w:p>
        <w:p>
          <w:pPr>
            <w:pStyle w:val="14"/>
            <w:tabs>
              <w:tab w:val="right" w:leader="dot" w:pos="8505"/>
            </w:tabs>
            <w:ind w:left="640" w:firstLine="0" w:firstLineChars="0"/>
            <w:rPr>
              <w:rFonts w:hint="eastAsia" w:ascii="仿宋_GB2312" w:hAnsi="仿宋" w:cs="仿宋"/>
              <w:sz w:val="28"/>
              <w:szCs w:val="28"/>
            </w:rPr>
          </w:pPr>
          <w:r>
            <w:fldChar w:fldCharType="begin"/>
          </w:r>
          <w:r>
            <w:instrText xml:space="preserve"> HYPERLINK \l "_Toc18962" </w:instrText>
          </w:r>
          <w:r>
            <w:fldChar w:fldCharType="separate"/>
          </w:r>
          <w:r>
            <w:rPr>
              <w:rFonts w:hint="eastAsia" w:ascii="仿宋_GB2312" w:hAnsi="仿宋" w:cs="仿宋"/>
              <w:sz w:val="28"/>
              <w:szCs w:val="28"/>
            </w:rPr>
            <w:t>（一）绩效评价目的、对象和范围</w:t>
          </w:r>
          <w:r>
            <w:rPr>
              <w:rFonts w:hint="eastAsia" w:ascii="仿宋_GB2312" w:hAnsi="仿宋" w:cs="仿宋"/>
              <w:sz w:val="28"/>
              <w:szCs w:val="28"/>
            </w:rPr>
            <w:tab/>
          </w:r>
          <w:r>
            <w:rPr>
              <w:rFonts w:hint="eastAsia" w:ascii="仿宋_GB2312" w:hAnsi="仿宋" w:cs="仿宋"/>
              <w:sz w:val="28"/>
              <w:szCs w:val="28"/>
            </w:rPr>
            <w:fldChar w:fldCharType="begin"/>
          </w:r>
          <w:r>
            <w:rPr>
              <w:rFonts w:hint="eastAsia" w:ascii="仿宋_GB2312" w:hAnsi="仿宋" w:cs="仿宋"/>
              <w:sz w:val="28"/>
              <w:szCs w:val="28"/>
            </w:rPr>
            <w:instrText xml:space="preserve"> PAGEREF _Toc18962 \h </w:instrText>
          </w:r>
          <w:r>
            <w:rPr>
              <w:rFonts w:hint="eastAsia" w:ascii="仿宋_GB2312" w:hAnsi="仿宋" w:cs="仿宋"/>
              <w:sz w:val="28"/>
              <w:szCs w:val="28"/>
            </w:rPr>
            <w:fldChar w:fldCharType="separate"/>
          </w:r>
          <w:r>
            <w:rPr>
              <w:rFonts w:hint="eastAsia" w:ascii="仿宋_GB2312" w:hAnsi="仿宋" w:cs="仿宋"/>
              <w:sz w:val="28"/>
              <w:szCs w:val="28"/>
            </w:rPr>
            <w:t>3</w:t>
          </w:r>
          <w:r>
            <w:rPr>
              <w:rFonts w:hint="eastAsia" w:ascii="仿宋_GB2312" w:hAnsi="仿宋" w:cs="仿宋"/>
              <w:sz w:val="28"/>
              <w:szCs w:val="28"/>
            </w:rPr>
            <w:fldChar w:fldCharType="end"/>
          </w:r>
          <w:r>
            <w:rPr>
              <w:rFonts w:hint="eastAsia" w:ascii="仿宋_GB2312" w:hAnsi="仿宋" w:cs="仿宋"/>
              <w:sz w:val="28"/>
              <w:szCs w:val="28"/>
            </w:rPr>
            <w:fldChar w:fldCharType="end"/>
          </w:r>
        </w:p>
        <w:p>
          <w:pPr>
            <w:pStyle w:val="14"/>
            <w:tabs>
              <w:tab w:val="right" w:leader="dot" w:pos="8505"/>
            </w:tabs>
            <w:ind w:left="640" w:firstLine="0" w:firstLineChars="0"/>
            <w:rPr>
              <w:rFonts w:hint="eastAsia" w:ascii="仿宋_GB2312" w:hAnsi="仿宋" w:cs="仿宋"/>
              <w:sz w:val="28"/>
              <w:szCs w:val="28"/>
            </w:rPr>
          </w:pPr>
          <w:r>
            <w:fldChar w:fldCharType="begin"/>
          </w:r>
          <w:r>
            <w:instrText xml:space="preserve"> HYPERLINK \l "_Toc5589" </w:instrText>
          </w:r>
          <w:r>
            <w:fldChar w:fldCharType="separate"/>
          </w:r>
          <w:r>
            <w:rPr>
              <w:rFonts w:hint="eastAsia" w:ascii="仿宋_GB2312" w:hAnsi="仿宋" w:cs="仿宋"/>
              <w:sz w:val="28"/>
              <w:szCs w:val="28"/>
            </w:rPr>
            <w:t>（二）绩效评价原则、评价指标体系、评价方法、评价标准</w:t>
          </w:r>
          <w:r>
            <w:rPr>
              <w:rFonts w:hint="eastAsia" w:ascii="仿宋_GB2312" w:hAnsi="仿宋" w:cs="仿宋"/>
              <w:sz w:val="28"/>
              <w:szCs w:val="28"/>
            </w:rPr>
            <w:tab/>
          </w:r>
          <w:r>
            <w:rPr>
              <w:rFonts w:hint="eastAsia" w:ascii="仿宋_GB2312" w:hAnsi="仿宋" w:cs="仿宋"/>
              <w:sz w:val="28"/>
              <w:szCs w:val="28"/>
            </w:rPr>
            <w:fldChar w:fldCharType="begin"/>
          </w:r>
          <w:r>
            <w:rPr>
              <w:rFonts w:hint="eastAsia" w:ascii="仿宋_GB2312" w:hAnsi="仿宋" w:cs="仿宋"/>
              <w:sz w:val="28"/>
              <w:szCs w:val="28"/>
            </w:rPr>
            <w:instrText xml:space="preserve"> PAGEREF _Toc5589 \h </w:instrText>
          </w:r>
          <w:r>
            <w:rPr>
              <w:rFonts w:hint="eastAsia" w:ascii="仿宋_GB2312" w:hAnsi="仿宋" w:cs="仿宋"/>
              <w:sz w:val="28"/>
              <w:szCs w:val="28"/>
            </w:rPr>
            <w:fldChar w:fldCharType="separate"/>
          </w:r>
          <w:r>
            <w:rPr>
              <w:rFonts w:hint="eastAsia" w:ascii="仿宋_GB2312" w:hAnsi="仿宋" w:cs="仿宋"/>
              <w:sz w:val="28"/>
              <w:szCs w:val="28"/>
            </w:rPr>
            <w:t>3</w:t>
          </w:r>
          <w:r>
            <w:rPr>
              <w:rFonts w:hint="eastAsia" w:ascii="仿宋_GB2312" w:hAnsi="仿宋" w:cs="仿宋"/>
              <w:sz w:val="28"/>
              <w:szCs w:val="28"/>
            </w:rPr>
            <w:fldChar w:fldCharType="end"/>
          </w:r>
          <w:r>
            <w:rPr>
              <w:rFonts w:hint="eastAsia" w:ascii="仿宋_GB2312" w:hAnsi="仿宋" w:cs="仿宋"/>
              <w:sz w:val="28"/>
              <w:szCs w:val="28"/>
            </w:rPr>
            <w:fldChar w:fldCharType="end"/>
          </w:r>
        </w:p>
        <w:p>
          <w:pPr>
            <w:pStyle w:val="14"/>
            <w:tabs>
              <w:tab w:val="right" w:leader="dot" w:pos="8505"/>
            </w:tabs>
            <w:ind w:left="640" w:firstLine="0" w:firstLineChars="0"/>
            <w:rPr>
              <w:rFonts w:hint="eastAsia" w:ascii="仿宋_GB2312" w:hAnsi="仿宋" w:cs="仿宋"/>
              <w:sz w:val="28"/>
              <w:szCs w:val="28"/>
            </w:rPr>
          </w:pPr>
          <w:r>
            <w:fldChar w:fldCharType="begin"/>
          </w:r>
          <w:r>
            <w:instrText xml:space="preserve"> HYPERLINK \l "_Toc19897" </w:instrText>
          </w:r>
          <w:r>
            <w:fldChar w:fldCharType="separate"/>
          </w:r>
          <w:r>
            <w:rPr>
              <w:rFonts w:hint="eastAsia" w:ascii="仿宋_GB2312" w:hAnsi="仿宋" w:cs="仿宋"/>
              <w:sz w:val="28"/>
              <w:szCs w:val="28"/>
            </w:rPr>
            <w:t>（三）绩效评价工作过程</w:t>
          </w:r>
          <w:r>
            <w:rPr>
              <w:rFonts w:hint="eastAsia" w:ascii="仿宋_GB2312" w:hAnsi="仿宋" w:cs="仿宋"/>
              <w:sz w:val="28"/>
              <w:szCs w:val="28"/>
            </w:rPr>
            <w:tab/>
          </w:r>
          <w:r>
            <w:rPr>
              <w:rFonts w:hint="eastAsia" w:ascii="仿宋_GB2312" w:hAnsi="仿宋" w:cs="仿宋"/>
              <w:sz w:val="28"/>
              <w:szCs w:val="28"/>
            </w:rPr>
            <w:fldChar w:fldCharType="begin"/>
          </w:r>
          <w:r>
            <w:rPr>
              <w:rFonts w:hint="eastAsia" w:ascii="仿宋_GB2312" w:hAnsi="仿宋" w:cs="仿宋"/>
              <w:sz w:val="28"/>
              <w:szCs w:val="28"/>
            </w:rPr>
            <w:instrText xml:space="preserve"> PAGEREF _Toc19897 \h </w:instrText>
          </w:r>
          <w:r>
            <w:rPr>
              <w:rFonts w:hint="eastAsia" w:ascii="仿宋_GB2312" w:hAnsi="仿宋" w:cs="仿宋"/>
              <w:sz w:val="28"/>
              <w:szCs w:val="28"/>
            </w:rPr>
            <w:fldChar w:fldCharType="separate"/>
          </w:r>
          <w:r>
            <w:rPr>
              <w:rFonts w:hint="eastAsia" w:ascii="仿宋_GB2312" w:hAnsi="仿宋" w:cs="仿宋"/>
              <w:sz w:val="28"/>
              <w:szCs w:val="28"/>
            </w:rPr>
            <w:t>13</w:t>
          </w:r>
          <w:r>
            <w:rPr>
              <w:rFonts w:hint="eastAsia" w:ascii="仿宋_GB2312" w:hAnsi="仿宋" w:cs="仿宋"/>
              <w:sz w:val="28"/>
              <w:szCs w:val="28"/>
            </w:rPr>
            <w:fldChar w:fldCharType="end"/>
          </w:r>
          <w:r>
            <w:rPr>
              <w:rFonts w:hint="eastAsia" w:ascii="仿宋_GB2312" w:hAnsi="仿宋" w:cs="仿宋"/>
              <w:sz w:val="28"/>
              <w:szCs w:val="28"/>
            </w:rPr>
            <w:fldChar w:fldCharType="end"/>
          </w:r>
        </w:p>
        <w:p>
          <w:pPr>
            <w:pStyle w:val="13"/>
            <w:tabs>
              <w:tab w:val="right" w:leader="dot" w:pos="8505"/>
            </w:tabs>
            <w:ind w:firstLine="0" w:firstLineChars="0"/>
            <w:rPr>
              <w:rFonts w:hint="eastAsia" w:ascii="仿宋_GB2312" w:hAnsi="仿宋" w:cs="仿宋"/>
              <w:sz w:val="28"/>
              <w:szCs w:val="28"/>
            </w:rPr>
          </w:pPr>
          <w:r>
            <w:fldChar w:fldCharType="begin"/>
          </w:r>
          <w:r>
            <w:instrText xml:space="preserve"> HYPERLINK \l "_Toc31388" </w:instrText>
          </w:r>
          <w:r>
            <w:fldChar w:fldCharType="separate"/>
          </w:r>
          <w:r>
            <w:rPr>
              <w:rFonts w:hint="eastAsia" w:ascii="仿宋_GB2312" w:hAnsi="仿宋" w:cs="仿宋"/>
              <w:sz w:val="28"/>
              <w:szCs w:val="28"/>
            </w:rPr>
            <w:t>三、综合评价情况及评价结论（附相关评分表）</w:t>
          </w:r>
          <w:r>
            <w:rPr>
              <w:rFonts w:hint="eastAsia" w:ascii="仿宋_GB2312" w:hAnsi="仿宋" w:cs="仿宋"/>
              <w:sz w:val="28"/>
              <w:szCs w:val="28"/>
            </w:rPr>
            <w:tab/>
          </w:r>
          <w:r>
            <w:rPr>
              <w:rFonts w:hint="eastAsia" w:ascii="仿宋_GB2312" w:hAnsi="仿宋" w:cs="仿宋"/>
              <w:sz w:val="28"/>
              <w:szCs w:val="28"/>
            </w:rPr>
            <w:fldChar w:fldCharType="begin"/>
          </w:r>
          <w:r>
            <w:rPr>
              <w:rFonts w:hint="eastAsia" w:ascii="仿宋_GB2312" w:hAnsi="仿宋" w:cs="仿宋"/>
              <w:sz w:val="28"/>
              <w:szCs w:val="28"/>
            </w:rPr>
            <w:instrText xml:space="preserve"> PAGEREF _Toc31388 \h </w:instrText>
          </w:r>
          <w:r>
            <w:rPr>
              <w:rFonts w:hint="eastAsia" w:ascii="仿宋_GB2312" w:hAnsi="仿宋" w:cs="仿宋"/>
              <w:sz w:val="28"/>
              <w:szCs w:val="28"/>
            </w:rPr>
            <w:fldChar w:fldCharType="separate"/>
          </w:r>
          <w:r>
            <w:rPr>
              <w:rFonts w:hint="eastAsia" w:ascii="仿宋_GB2312" w:hAnsi="仿宋" w:cs="仿宋"/>
              <w:sz w:val="28"/>
              <w:szCs w:val="28"/>
            </w:rPr>
            <w:t>15</w:t>
          </w:r>
          <w:r>
            <w:rPr>
              <w:rFonts w:hint="eastAsia" w:ascii="仿宋_GB2312" w:hAnsi="仿宋" w:cs="仿宋"/>
              <w:sz w:val="28"/>
              <w:szCs w:val="28"/>
            </w:rPr>
            <w:fldChar w:fldCharType="end"/>
          </w:r>
          <w:r>
            <w:rPr>
              <w:rFonts w:hint="eastAsia" w:ascii="仿宋_GB2312" w:hAnsi="仿宋" w:cs="仿宋"/>
              <w:sz w:val="28"/>
              <w:szCs w:val="28"/>
            </w:rPr>
            <w:fldChar w:fldCharType="end"/>
          </w:r>
        </w:p>
        <w:p>
          <w:pPr>
            <w:pStyle w:val="13"/>
            <w:tabs>
              <w:tab w:val="right" w:leader="dot" w:pos="8505"/>
            </w:tabs>
            <w:ind w:firstLine="0" w:firstLineChars="0"/>
            <w:rPr>
              <w:rFonts w:hint="eastAsia" w:ascii="仿宋_GB2312" w:hAnsi="仿宋" w:cs="仿宋"/>
              <w:sz w:val="28"/>
              <w:szCs w:val="28"/>
            </w:rPr>
          </w:pPr>
          <w:r>
            <w:fldChar w:fldCharType="begin"/>
          </w:r>
          <w:r>
            <w:instrText xml:space="preserve"> HYPERLINK \l "_Toc2505" </w:instrText>
          </w:r>
          <w:r>
            <w:fldChar w:fldCharType="separate"/>
          </w:r>
          <w:r>
            <w:rPr>
              <w:rFonts w:hint="eastAsia" w:ascii="仿宋_GB2312" w:hAnsi="仿宋" w:cs="仿宋"/>
              <w:sz w:val="28"/>
              <w:szCs w:val="28"/>
            </w:rPr>
            <w:t>四、绩效评价指标分析</w:t>
          </w:r>
          <w:r>
            <w:rPr>
              <w:rFonts w:hint="eastAsia" w:ascii="仿宋_GB2312" w:hAnsi="仿宋" w:cs="仿宋"/>
              <w:sz w:val="28"/>
              <w:szCs w:val="28"/>
            </w:rPr>
            <w:tab/>
          </w:r>
          <w:r>
            <w:rPr>
              <w:rFonts w:hint="eastAsia" w:ascii="仿宋_GB2312" w:hAnsi="仿宋" w:cs="仿宋"/>
              <w:sz w:val="28"/>
              <w:szCs w:val="28"/>
            </w:rPr>
            <w:fldChar w:fldCharType="begin"/>
          </w:r>
          <w:r>
            <w:rPr>
              <w:rFonts w:hint="eastAsia" w:ascii="仿宋_GB2312" w:hAnsi="仿宋" w:cs="仿宋"/>
              <w:sz w:val="28"/>
              <w:szCs w:val="28"/>
            </w:rPr>
            <w:instrText xml:space="preserve"> PAGEREF _Toc2505 \h </w:instrText>
          </w:r>
          <w:r>
            <w:rPr>
              <w:rFonts w:hint="eastAsia" w:ascii="仿宋_GB2312" w:hAnsi="仿宋" w:cs="仿宋"/>
              <w:sz w:val="28"/>
              <w:szCs w:val="28"/>
            </w:rPr>
            <w:fldChar w:fldCharType="separate"/>
          </w:r>
          <w:r>
            <w:rPr>
              <w:rFonts w:hint="eastAsia" w:ascii="仿宋_GB2312" w:hAnsi="仿宋" w:cs="仿宋"/>
              <w:sz w:val="28"/>
              <w:szCs w:val="28"/>
            </w:rPr>
            <w:t>15</w:t>
          </w:r>
          <w:r>
            <w:rPr>
              <w:rFonts w:hint="eastAsia" w:ascii="仿宋_GB2312" w:hAnsi="仿宋" w:cs="仿宋"/>
              <w:sz w:val="28"/>
              <w:szCs w:val="28"/>
            </w:rPr>
            <w:fldChar w:fldCharType="end"/>
          </w:r>
          <w:r>
            <w:rPr>
              <w:rFonts w:hint="eastAsia" w:ascii="仿宋_GB2312" w:hAnsi="仿宋" w:cs="仿宋"/>
              <w:sz w:val="28"/>
              <w:szCs w:val="28"/>
            </w:rPr>
            <w:fldChar w:fldCharType="end"/>
          </w:r>
        </w:p>
        <w:p>
          <w:pPr>
            <w:pStyle w:val="14"/>
            <w:tabs>
              <w:tab w:val="right" w:leader="dot" w:pos="8505"/>
            </w:tabs>
            <w:ind w:left="640" w:firstLine="0" w:firstLineChars="0"/>
            <w:rPr>
              <w:rFonts w:hint="eastAsia" w:ascii="仿宋_GB2312" w:hAnsi="仿宋" w:cs="仿宋"/>
              <w:sz w:val="28"/>
              <w:szCs w:val="28"/>
            </w:rPr>
          </w:pPr>
          <w:r>
            <w:fldChar w:fldCharType="begin"/>
          </w:r>
          <w:r>
            <w:instrText xml:space="preserve"> HYPERLINK \l "_Toc32569" </w:instrText>
          </w:r>
          <w:r>
            <w:fldChar w:fldCharType="separate"/>
          </w:r>
          <w:r>
            <w:rPr>
              <w:rFonts w:hint="eastAsia" w:ascii="仿宋_GB2312" w:hAnsi="仿宋" w:cs="仿宋"/>
              <w:sz w:val="28"/>
              <w:szCs w:val="28"/>
            </w:rPr>
            <w:t>（一）项目决策情况</w:t>
          </w:r>
          <w:r>
            <w:rPr>
              <w:rFonts w:hint="eastAsia" w:ascii="仿宋_GB2312" w:hAnsi="仿宋" w:cs="仿宋"/>
              <w:sz w:val="28"/>
              <w:szCs w:val="28"/>
            </w:rPr>
            <w:tab/>
          </w:r>
          <w:r>
            <w:rPr>
              <w:rFonts w:hint="eastAsia" w:ascii="仿宋_GB2312" w:hAnsi="仿宋" w:cs="仿宋"/>
              <w:sz w:val="28"/>
              <w:szCs w:val="28"/>
            </w:rPr>
            <w:fldChar w:fldCharType="begin"/>
          </w:r>
          <w:r>
            <w:rPr>
              <w:rFonts w:hint="eastAsia" w:ascii="仿宋_GB2312" w:hAnsi="仿宋" w:cs="仿宋"/>
              <w:sz w:val="28"/>
              <w:szCs w:val="28"/>
            </w:rPr>
            <w:instrText xml:space="preserve"> PAGEREF _Toc32569 \h </w:instrText>
          </w:r>
          <w:r>
            <w:rPr>
              <w:rFonts w:hint="eastAsia" w:ascii="仿宋_GB2312" w:hAnsi="仿宋" w:cs="仿宋"/>
              <w:sz w:val="28"/>
              <w:szCs w:val="28"/>
            </w:rPr>
            <w:fldChar w:fldCharType="separate"/>
          </w:r>
          <w:r>
            <w:rPr>
              <w:rFonts w:hint="eastAsia" w:ascii="仿宋_GB2312" w:hAnsi="仿宋" w:cs="仿宋"/>
              <w:sz w:val="28"/>
              <w:szCs w:val="28"/>
            </w:rPr>
            <w:t>16</w:t>
          </w:r>
          <w:r>
            <w:rPr>
              <w:rFonts w:hint="eastAsia" w:ascii="仿宋_GB2312" w:hAnsi="仿宋" w:cs="仿宋"/>
              <w:sz w:val="28"/>
              <w:szCs w:val="28"/>
            </w:rPr>
            <w:fldChar w:fldCharType="end"/>
          </w:r>
          <w:r>
            <w:rPr>
              <w:rFonts w:hint="eastAsia" w:ascii="仿宋_GB2312" w:hAnsi="仿宋" w:cs="仿宋"/>
              <w:sz w:val="28"/>
              <w:szCs w:val="28"/>
            </w:rPr>
            <w:fldChar w:fldCharType="end"/>
          </w:r>
        </w:p>
        <w:p>
          <w:pPr>
            <w:pStyle w:val="14"/>
            <w:tabs>
              <w:tab w:val="right" w:leader="dot" w:pos="8505"/>
            </w:tabs>
            <w:ind w:left="640" w:firstLine="0" w:firstLineChars="0"/>
            <w:rPr>
              <w:rFonts w:hint="eastAsia" w:ascii="仿宋_GB2312" w:hAnsi="仿宋" w:cs="仿宋"/>
              <w:sz w:val="28"/>
              <w:szCs w:val="28"/>
            </w:rPr>
          </w:pPr>
          <w:r>
            <w:fldChar w:fldCharType="begin"/>
          </w:r>
          <w:r>
            <w:instrText xml:space="preserve"> HYPERLINK \l "_Toc590" </w:instrText>
          </w:r>
          <w:r>
            <w:fldChar w:fldCharType="separate"/>
          </w:r>
          <w:r>
            <w:rPr>
              <w:rFonts w:hint="eastAsia" w:ascii="仿宋_GB2312" w:hAnsi="仿宋" w:cs="仿宋"/>
              <w:sz w:val="28"/>
              <w:szCs w:val="28"/>
            </w:rPr>
            <w:t>（二）项目过程情况</w:t>
          </w:r>
          <w:r>
            <w:rPr>
              <w:rFonts w:hint="eastAsia" w:ascii="仿宋_GB2312" w:hAnsi="仿宋" w:cs="仿宋"/>
              <w:sz w:val="28"/>
              <w:szCs w:val="28"/>
            </w:rPr>
            <w:tab/>
          </w:r>
          <w:r>
            <w:rPr>
              <w:rFonts w:hint="eastAsia" w:ascii="仿宋_GB2312" w:hAnsi="仿宋" w:cs="仿宋"/>
              <w:sz w:val="28"/>
              <w:szCs w:val="28"/>
            </w:rPr>
            <w:fldChar w:fldCharType="begin"/>
          </w:r>
          <w:r>
            <w:rPr>
              <w:rFonts w:hint="eastAsia" w:ascii="仿宋_GB2312" w:hAnsi="仿宋" w:cs="仿宋"/>
              <w:sz w:val="28"/>
              <w:szCs w:val="28"/>
            </w:rPr>
            <w:instrText xml:space="preserve"> PAGEREF _Toc590 \h </w:instrText>
          </w:r>
          <w:r>
            <w:rPr>
              <w:rFonts w:hint="eastAsia" w:ascii="仿宋_GB2312" w:hAnsi="仿宋" w:cs="仿宋"/>
              <w:sz w:val="28"/>
              <w:szCs w:val="28"/>
            </w:rPr>
            <w:fldChar w:fldCharType="separate"/>
          </w:r>
          <w:r>
            <w:rPr>
              <w:rFonts w:hint="eastAsia" w:ascii="仿宋_GB2312" w:hAnsi="仿宋" w:cs="仿宋"/>
              <w:sz w:val="28"/>
              <w:szCs w:val="28"/>
            </w:rPr>
            <w:t>20</w:t>
          </w:r>
          <w:r>
            <w:rPr>
              <w:rFonts w:hint="eastAsia" w:ascii="仿宋_GB2312" w:hAnsi="仿宋" w:cs="仿宋"/>
              <w:sz w:val="28"/>
              <w:szCs w:val="28"/>
            </w:rPr>
            <w:fldChar w:fldCharType="end"/>
          </w:r>
          <w:r>
            <w:rPr>
              <w:rFonts w:hint="eastAsia" w:ascii="仿宋_GB2312" w:hAnsi="仿宋" w:cs="仿宋"/>
              <w:sz w:val="28"/>
              <w:szCs w:val="28"/>
            </w:rPr>
            <w:fldChar w:fldCharType="end"/>
          </w:r>
        </w:p>
        <w:p>
          <w:pPr>
            <w:pStyle w:val="14"/>
            <w:tabs>
              <w:tab w:val="right" w:leader="dot" w:pos="8505"/>
            </w:tabs>
            <w:ind w:left="640" w:firstLine="0" w:firstLineChars="0"/>
            <w:rPr>
              <w:rFonts w:hint="eastAsia" w:ascii="仿宋_GB2312" w:hAnsi="仿宋" w:cs="仿宋"/>
              <w:sz w:val="28"/>
              <w:szCs w:val="28"/>
            </w:rPr>
          </w:pPr>
          <w:r>
            <w:fldChar w:fldCharType="begin"/>
          </w:r>
          <w:r>
            <w:instrText xml:space="preserve"> HYPERLINK \l "_Toc27550" </w:instrText>
          </w:r>
          <w:r>
            <w:fldChar w:fldCharType="separate"/>
          </w:r>
          <w:r>
            <w:rPr>
              <w:rFonts w:hint="eastAsia" w:ascii="仿宋_GB2312" w:hAnsi="仿宋" w:cs="仿宋"/>
              <w:sz w:val="28"/>
              <w:szCs w:val="28"/>
            </w:rPr>
            <w:t>（三）项目产出情况</w:t>
          </w:r>
          <w:r>
            <w:rPr>
              <w:rFonts w:hint="eastAsia" w:ascii="仿宋_GB2312" w:hAnsi="仿宋" w:cs="仿宋"/>
              <w:sz w:val="28"/>
              <w:szCs w:val="28"/>
            </w:rPr>
            <w:tab/>
          </w:r>
          <w:r>
            <w:rPr>
              <w:rFonts w:hint="eastAsia" w:ascii="仿宋_GB2312" w:hAnsi="仿宋" w:cs="仿宋"/>
              <w:sz w:val="28"/>
              <w:szCs w:val="28"/>
            </w:rPr>
            <w:fldChar w:fldCharType="begin"/>
          </w:r>
          <w:r>
            <w:rPr>
              <w:rFonts w:hint="eastAsia" w:ascii="仿宋_GB2312" w:hAnsi="仿宋" w:cs="仿宋"/>
              <w:sz w:val="28"/>
              <w:szCs w:val="28"/>
            </w:rPr>
            <w:instrText xml:space="preserve"> PAGEREF _Toc27550 \h </w:instrText>
          </w:r>
          <w:r>
            <w:rPr>
              <w:rFonts w:hint="eastAsia" w:ascii="仿宋_GB2312" w:hAnsi="仿宋" w:cs="仿宋"/>
              <w:sz w:val="28"/>
              <w:szCs w:val="28"/>
            </w:rPr>
            <w:fldChar w:fldCharType="separate"/>
          </w:r>
          <w:r>
            <w:rPr>
              <w:rFonts w:hint="eastAsia" w:ascii="仿宋_GB2312" w:hAnsi="仿宋" w:cs="仿宋"/>
              <w:sz w:val="28"/>
              <w:szCs w:val="28"/>
            </w:rPr>
            <w:t>24</w:t>
          </w:r>
          <w:r>
            <w:rPr>
              <w:rFonts w:hint="eastAsia" w:ascii="仿宋_GB2312" w:hAnsi="仿宋" w:cs="仿宋"/>
              <w:sz w:val="28"/>
              <w:szCs w:val="28"/>
            </w:rPr>
            <w:fldChar w:fldCharType="end"/>
          </w:r>
          <w:r>
            <w:rPr>
              <w:rFonts w:hint="eastAsia" w:ascii="仿宋_GB2312" w:hAnsi="仿宋" w:cs="仿宋"/>
              <w:sz w:val="28"/>
              <w:szCs w:val="28"/>
            </w:rPr>
            <w:fldChar w:fldCharType="end"/>
          </w:r>
        </w:p>
        <w:p>
          <w:pPr>
            <w:pStyle w:val="14"/>
            <w:tabs>
              <w:tab w:val="right" w:leader="dot" w:pos="8505"/>
            </w:tabs>
            <w:ind w:left="640" w:firstLine="0" w:firstLineChars="0"/>
            <w:rPr>
              <w:rFonts w:hint="eastAsia" w:ascii="仿宋_GB2312" w:hAnsi="仿宋" w:cs="仿宋"/>
              <w:sz w:val="28"/>
              <w:szCs w:val="28"/>
            </w:rPr>
          </w:pPr>
          <w:r>
            <w:fldChar w:fldCharType="begin"/>
          </w:r>
          <w:r>
            <w:instrText xml:space="preserve"> HYPERLINK \l "_Toc3581" </w:instrText>
          </w:r>
          <w:r>
            <w:fldChar w:fldCharType="separate"/>
          </w:r>
          <w:r>
            <w:rPr>
              <w:rFonts w:hint="eastAsia" w:ascii="仿宋_GB2312" w:hAnsi="仿宋" w:cs="仿宋"/>
              <w:sz w:val="28"/>
              <w:szCs w:val="28"/>
            </w:rPr>
            <w:t>（四）项目效益情况</w:t>
          </w:r>
          <w:r>
            <w:rPr>
              <w:rFonts w:hint="eastAsia" w:ascii="仿宋_GB2312" w:hAnsi="仿宋" w:cs="仿宋"/>
              <w:sz w:val="28"/>
              <w:szCs w:val="28"/>
            </w:rPr>
            <w:tab/>
          </w:r>
          <w:r>
            <w:rPr>
              <w:rFonts w:hint="eastAsia" w:ascii="仿宋_GB2312" w:hAnsi="仿宋" w:cs="仿宋"/>
              <w:sz w:val="28"/>
              <w:szCs w:val="28"/>
            </w:rPr>
            <w:fldChar w:fldCharType="begin"/>
          </w:r>
          <w:r>
            <w:rPr>
              <w:rFonts w:hint="eastAsia" w:ascii="仿宋_GB2312" w:hAnsi="仿宋" w:cs="仿宋"/>
              <w:sz w:val="28"/>
              <w:szCs w:val="28"/>
            </w:rPr>
            <w:instrText xml:space="preserve"> PAGEREF _Toc3581 \h </w:instrText>
          </w:r>
          <w:r>
            <w:rPr>
              <w:rFonts w:hint="eastAsia" w:ascii="仿宋_GB2312" w:hAnsi="仿宋" w:cs="仿宋"/>
              <w:sz w:val="28"/>
              <w:szCs w:val="28"/>
            </w:rPr>
            <w:fldChar w:fldCharType="separate"/>
          </w:r>
          <w:r>
            <w:rPr>
              <w:rFonts w:hint="eastAsia" w:ascii="仿宋_GB2312" w:hAnsi="仿宋" w:cs="仿宋"/>
              <w:sz w:val="28"/>
              <w:szCs w:val="28"/>
            </w:rPr>
            <w:t>26</w:t>
          </w:r>
          <w:r>
            <w:rPr>
              <w:rFonts w:hint="eastAsia" w:ascii="仿宋_GB2312" w:hAnsi="仿宋" w:cs="仿宋"/>
              <w:sz w:val="28"/>
              <w:szCs w:val="28"/>
            </w:rPr>
            <w:fldChar w:fldCharType="end"/>
          </w:r>
          <w:r>
            <w:rPr>
              <w:rFonts w:hint="eastAsia" w:ascii="仿宋_GB2312" w:hAnsi="仿宋" w:cs="仿宋"/>
              <w:sz w:val="28"/>
              <w:szCs w:val="28"/>
            </w:rPr>
            <w:fldChar w:fldCharType="end"/>
          </w:r>
        </w:p>
        <w:p>
          <w:pPr>
            <w:pStyle w:val="13"/>
            <w:tabs>
              <w:tab w:val="right" w:leader="dot" w:pos="8505"/>
            </w:tabs>
            <w:ind w:firstLine="0" w:firstLineChars="0"/>
            <w:rPr>
              <w:rFonts w:hint="eastAsia" w:ascii="仿宋_GB2312" w:hAnsi="仿宋" w:cs="仿宋"/>
              <w:sz w:val="28"/>
              <w:szCs w:val="28"/>
            </w:rPr>
          </w:pPr>
          <w:r>
            <w:fldChar w:fldCharType="begin"/>
          </w:r>
          <w:r>
            <w:instrText xml:space="preserve"> HYPERLINK \l "_Toc25748" </w:instrText>
          </w:r>
          <w:r>
            <w:fldChar w:fldCharType="separate"/>
          </w:r>
          <w:r>
            <w:rPr>
              <w:rFonts w:hint="eastAsia" w:ascii="仿宋_GB2312" w:hAnsi="仿宋" w:cs="仿宋"/>
              <w:sz w:val="28"/>
              <w:szCs w:val="28"/>
            </w:rPr>
            <w:t>五、主要经验及做法</w:t>
          </w:r>
          <w:r>
            <w:rPr>
              <w:rFonts w:hint="eastAsia" w:ascii="仿宋_GB2312" w:hAnsi="仿宋" w:cs="仿宋"/>
              <w:sz w:val="28"/>
              <w:szCs w:val="28"/>
            </w:rPr>
            <w:tab/>
          </w:r>
          <w:r>
            <w:rPr>
              <w:rFonts w:hint="eastAsia" w:ascii="仿宋_GB2312" w:hAnsi="仿宋" w:cs="仿宋"/>
              <w:sz w:val="28"/>
              <w:szCs w:val="28"/>
            </w:rPr>
            <w:fldChar w:fldCharType="begin"/>
          </w:r>
          <w:r>
            <w:rPr>
              <w:rFonts w:hint="eastAsia" w:ascii="仿宋_GB2312" w:hAnsi="仿宋" w:cs="仿宋"/>
              <w:sz w:val="28"/>
              <w:szCs w:val="28"/>
            </w:rPr>
            <w:instrText xml:space="preserve"> PAGEREF _Toc25748 \h </w:instrText>
          </w:r>
          <w:r>
            <w:rPr>
              <w:rFonts w:hint="eastAsia" w:ascii="仿宋_GB2312" w:hAnsi="仿宋" w:cs="仿宋"/>
              <w:sz w:val="28"/>
              <w:szCs w:val="28"/>
            </w:rPr>
            <w:fldChar w:fldCharType="separate"/>
          </w:r>
          <w:r>
            <w:rPr>
              <w:rFonts w:hint="eastAsia" w:ascii="仿宋_GB2312" w:hAnsi="仿宋" w:cs="仿宋"/>
              <w:sz w:val="28"/>
              <w:szCs w:val="28"/>
            </w:rPr>
            <w:t>27</w:t>
          </w:r>
          <w:r>
            <w:rPr>
              <w:rFonts w:hint="eastAsia" w:ascii="仿宋_GB2312" w:hAnsi="仿宋" w:cs="仿宋"/>
              <w:sz w:val="28"/>
              <w:szCs w:val="28"/>
            </w:rPr>
            <w:fldChar w:fldCharType="end"/>
          </w:r>
          <w:r>
            <w:rPr>
              <w:rFonts w:hint="eastAsia" w:ascii="仿宋_GB2312" w:hAnsi="仿宋" w:cs="仿宋"/>
              <w:sz w:val="28"/>
              <w:szCs w:val="28"/>
            </w:rPr>
            <w:fldChar w:fldCharType="end"/>
          </w:r>
        </w:p>
        <w:p>
          <w:pPr>
            <w:pStyle w:val="13"/>
            <w:tabs>
              <w:tab w:val="right" w:leader="dot" w:pos="8505"/>
            </w:tabs>
            <w:ind w:firstLine="0" w:firstLineChars="0"/>
            <w:rPr>
              <w:rFonts w:hint="eastAsia" w:ascii="仿宋_GB2312" w:hAnsi="仿宋" w:cs="仿宋"/>
              <w:sz w:val="28"/>
              <w:szCs w:val="28"/>
            </w:rPr>
          </w:pPr>
          <w:r>
            <w:fldChar w:fldCharType="begin"/>
          </w:r>
          <w:r>
            <w:instrText xml:space="preserve"> HYPERLINK \l "_Toc5718" </w:instrText>
          </w:r>
          <w:r>
            <w:fldChar w:fldCharType="separate"/>
          </w:r>
          <w:r>
            <w:rPr>
              <w:rFonts w:hint="eastAsia" w:ascii="仿宋_GB2312" w:hAnsi="仿宋" w:cs="仿宋"/>
              <w:sz w:val="28"/>
              <w:szCs w:val="28"/>
            </w:rPr>
            <w:t>六、存在的问题及原因分析</w:t>
          </w:r>
          <w:r>
            <w:rPr>
              <w:rFonts w:hint="eastAsia" w:ascii="仿宋_GB2312" w:hAnsi="仿宋" w:cs="仿宋"/>
              <w:sz w:val="28"/>
              <w:szCs w:val="28"/>
            </w:rPr>
            <w:tab/>
          </w:r>
          <w:r>
            <w:rPr>
              <w:rFonts w:hint="eastAsia" w:ascii="仿宋_GB2312" w:hAnsi="仿宋" w:cs="仿宋"/>
              <w:sz w:val="28"/>
              <w:szCs w:val="28"/>
            </w:rPr>
            <w:fldChar w:fldCharType="begin"/>
          </w:r>
          <w:r>
            <w:rPr>
              <w:rFonts w:hint="eastAsia" w:ascii="仿宋_GB2312" w:hAnsi="仿宋" w:cs="仿宋"/>
              <w:sz w:val="28"/>
              <w:szCs w:val="28"/>
            </w:rPr>
            <w:instrText xml:space="preserve"> PAGEREF _Toc5718 \h </w:instrText>
          </w:r>
          <w:r>
            <w:rPr>
              <w:rFonts w:hint="eastAsia" w:ascii="仿宋_GB2312" w:hAnsi="仿宋" w:cs="仿宋"/>
              <w:sz w:val="28"/>
              <w:szCs w:val="28"/>
            </w:rPr>
            <w:fldChar w:fldCharType="separate"/>
          </w:r>
          <w:r>
            <w:rPr>
              <w:rFonts w:hint="eastAsia" w:ascii="仿宋_GB2312" w:hAnsi="仿宋" w:cs="仿宋"/>
              <w:sz w:val="28"/>
              <w:szCs w:val="28"/>
            </w:rPr>
            <w:t>28</w:t>
          </w:r>
          <w:r>
            <w:rPr>
              <w:rFonts w:hint="eastAsia" w:ascii="仿宋_GB2312" w:hAnsi="仿宋" w:cs="仿宋"/>
              <w:sz w:val="28"/>
              <w:szCs w:val="28"/>
            </w:rPr>
            <w:fldChar w:fldCharType="end"/>
          </w:r>
          <w:r>
            <w:rPr>
              <w:rFonts w:hint="eastAsia" w:ascii="仿宋_GB2312" w:hAnsi="仿宋" w:cs="仿宋"/>
              <w:sz w:val="28"/>
              <w:szCs w:val="28"/>
            </w:rPr>
            <w:fldChar w:fldCharType="end"/>
          </w:r>
        </w:p>
        <w:p>
          <w:pPr>
            <w:pStyle w:val="13"/>
            <w:tabs>
              <w:tab w:val="right" w:leader="dot" w:pos="8505"/>
            </w:tabs>
            <w:ind w:firstLine="0" w:firstLineChars="0"/>
            <w:rPr>
              <w:rFonts w:hint="eastAsia" w:ascii="仿宋_GB2312" w:hAnsi="仿宋" w:cs="仿宋"/>
              <w:sz w:val="28"/>
              <w:szCs w:val="28"/>
            </w:rPr>
          </w:pPr>
          <w:r>
            <w:fldChar w:fldCharType="begin"/>
          </w:r>
          <w:r>
            <w:instrText xml:space="preserve"> HYPERLINK \l "_Toc3675" </w:instrText>
          </w:r>
          <w:r>
            <w:fldChar w:fldCharType="separate"/>
          </w:r>
          <w:r>
            <w:rPr>
              <w:rFonts w:hint="eastAsia" w:ascii="仿宋_GB2312" w:hAnsi="仿宋" w:cs="仿宋"/>
              <w:sz w:val="28"/>
              <w:szCs w:val="28"/>
            </w:rPr>
            <w:t>七、有关建议</w:t>
          </w:r>
          <w:r>
            <w:rPr>
              <w:rFonts w:hint="eastAsia" w:ascii="仿宋_GB2312" w:hAnsi="仿宋" w:cs="仿宋"/>
              <w:sz w:val="28"/>
              <w:szCs w:val="28"/>
            </w:rPr>
            <w:tab/>
          </w:r>
          <w:r>
            <w:rPr>
              <w:rFonts w:hint="eastAsia" w:ascii="仿宋_GB2312" w:hAnsi="仿宋" w:cs="仿宋"/>
              <w:sz w:val="28"/>
              <w:szCs w:val="28"/>
            </w:rPr>
            <w:fldChar w:fldCharType="begin"/>
          </w:r>
          <w:r>
            <w:rPr>
              <w:rFonts w:hint="eastAsia" w:ascii="仿宋_GB2312" w:hAnsi="仿宋" w:cs="仿宋"/>
              <w:sz w:val="28"/>
              <w:szCs w:val="28"/>
            </w:rPr>
            <w:instrText xml:space="preserve"> PAGEREF _Toc3675 \h </w:instrText>
          </w:r>
          <w:r>
            <w:rPr>
              <w:rFonts w:hint="eastAsia" w:ascii="仿宋_GB2312" w:hAnsi="仿宋" w:cs="仿宋"/>
              <w:sz w:val="28"/>
              <w:szCs w:val="28"/>
            </w:rPr>
            <w:fldChar w:fldCharType="separate"/>
          </w:r>
          <w:r>
            <w:rPr>
              <w:rFonts w:hint="eastAsia" w:ascii="仿宋_GB2312" w:hAnsi="仿宋" w:cs="仿宋"/>
              <w:sz w:val="28"/>
              <w:szCs w:val="28"/>
            </w:rPr>
            <w:t>28</w:t>
          </w:r>
          <w:r>
            <w:rPr>
              <w:rFonts w:hint="eastAsia" w:ascii="仿宋_GB2312" w:hAnsi="仿宋" w:cs="仿宋"/>
              <w:sz w:val="28"/>
              <w:szCs w:val="28"/>
            </w:rPr>
            <w:fldChar w:fldCharType="end"/>
          </w:r>
          <w:r>
            <w:rPr>
              <w:rFonts w:hint="eastAsia" w:ascii="仿宋_GB2312" w:hAnsi="仿宋" w:cs="仿宋"/>
              <w:sz w:val="28"/>
              <w:szCs w:val="28"/>
            </w:rPr>
            <w:fldChar w:fldCharType="end"/>
          </w:r>
        </w:p>
        <w:p>
          <w:pPr>
            <w:pStyle w:val="13"/>
            <w:tabs>
              <w:tab w:val="right" w:leader="dot" w:pos="8505"/>
            </w:tabs>
            <w:ind w:firstLine="0" w:firstLineChars="0"/>
            <w:rPr>
              <w:rFonts w:hint="eastAsia" w:ascii="仿宋_GB2312" w:hAnsi="仿宋" w:cs="仿宋"/>
              <w:sz w:val="28"/>
              <w:szCs w:val="28"/>
            </w:rPr>
          </w:pPr>
          <w:r>
            <w:fldChar w:fldCharType="begin"/>
          </w:r>
          <w:r>
            <w:instrText xml:space="preserve"> HYPERLINK \l "_Toc11866" </w:instrText>
          </w:r>
          <w:r>
            <w:fldChar w:fldCharType="separate"/>
          </w:r>
          <w:r>
            <w:rPr>
              <w:rFonts w:hint="eastAsia" w:ascii="仿宋_GB2312" w:hAnsi="仿宋" w:cs="仿宋"/>
              <w:sz w:val="28"/>
              <w:szCs w:val="28"/>
            </w:rPr>
            <w:t>八、其他需要说明的问题</w:t>
          </w:r>
          <w:r>
            <w:rPr>
              <w:rFonts w:hint="eastAsia" w:ascii="仿宋_GB2312" w:hAnsi="仿宋" w:cs="仿宋"/>
              <w:sz w:val="28"/>
              <w:szCs w:val="28"/>
            </w:rPr>
            <w:tab/>
          </w:r>
          <w:r>
            <w:rPr>
              <w:rFonts w:hint="eastAsia" w:ascii="仿宋_GB2312" w:hAnsi="仿宋" w:cs="仿宋"/>
              <w:sz w:val="28"/>
              <w:szCs w:val="28"/>
            </w:rPr>
            <w:fldChar w:fldCharType="begin"/>
          </w:r>
          <w:r>
            <w:rPr>
              <w:rFonts w:hint="eastAsia" w:ascii="仿宋_GB2312" w:hAnsi="仿宋" w:cs="仿宋"/>
              <w:sz w:val="28"/>
              <w:szCs w:val="28"/>
            </w:rPr>
            <w:instrText xml:space="preserve"> PAGEREF _Toc11866 \h </w:instrText>
          </w:r>
          <w:r>
            <w:rPr>
              <w:rFonts w:hint="eastAsia" w:ascii="仿宋_GB2312" w:hAnsi="仿宋" w:cs="仿宋"/>
              <w:sz w:val="28"/>
              <w:szCs w:val="28"/>
            </w:rPr>
            <w:fldChar w:fldCharType="separate"/>
          </w:r>
          <w:r>
            <w:rPr>
              <w:rFonts w:hint="eastAsia" w:ascii="仿宋_GB2312" w:hAnsi="仿宋" w:cs="仿宋"/>
              <w:sz w:val="28"/>
              <w:szCs w:val="28"/>
            </w:rPr>
            <w:t>28</w:t>
          </w:r>
          <w:r>
            <w:rPr>
              <w:rFonts w:hint="eastAsia" w:ascii="仿宋_GB2312" w:hAnsi="仿宋" w:cs="仿宋"/>
              <w:sz w:val="28"/>
              <w:szCs w:val="28"/>
            </w:rPr>
            <w:fldChar w:fldCharType="end"/>
          </w:r>
          <w:r>
            <w:rPr>
              <w:rFonts w:hint="eastAsia" w:ascii="仿宋_GB2312" w:hAnsi="仿宋" w:cs="仿宋"/>
              <w:sz w:val="28"/>
              <w:szCs w:val="28"/>
            </w:rPr>
            <w:fldChar w:fldCharType="end"/>
          </w:r>
        </w:p>
        <w:p>
          <w:pPr>
            <w:pStyle w:val="13"/>
            <w:tabs>
              <w:tab w:val="right" w:leader="dot" w:pos="8505"/>
            </w:tabs>
            <w:ind w:firstLine="0" w:firstLineChars="0"/>
            <w:rPr>
              <w:rFonts w:hint="eastAsia" w:ascii="仿宋_GB2312" w:hAnsi="仿宋_GB2312" w:cs="仿宋_GB2312"/>
              <w:sz w:val="28"/>
              <w:szCs w:val="28"/>
            </w:rPr>
          </w:pPr>
          <w:r>
            <w:fldChar w:fldCharType="begin"/>
          </w:r>
          <w:r>
            <w:instrText xml:space="preserve"> HYPERLINK \l "_Toc26211" </w:instrText>
          </w:r>
          <w:r>
            <w:fldChar w:fldCharType="separate"/>
          </w:r>
          <w:r>
            <w:rPr>
              <w:rFonts w:hint="eastAsia" w:ascii="仿宋_GB2312" w:hAnsi="仿宋" w:cs="仿宋"/>
              <w:sz w:val="28"/>
              <w:szCs w:val="28"/>
            </w:rPr>
            <w:t>附件：综合评分表</w:t>
          </w:r>
          <w:r>
            <w:rPr>
              <w:rFonts w:hint="eastAsia" w:ascii="仿宋_GB2312" w:hAnsi="仿宋" w:cs="仿宋"/>
              <w:sz w:val="28"/>
              <w:szCs w:val="28"/>
            </w:rPr>
            <w:tab/>
          </w:r>
          <w:r>
            <w:rPr>
              <w:rFonts w:hint="eastAsia" w:ascii="仿宋_GB2312" w:hAnsi="仿宋" w:cs="仿宋"/>
              <w:sz w:val="28"/>
              <w:szCs w:val="28"/>
            </w:rPr>
            <w:t>3</w:t>
          </w:r>
          <w:r>
            <w:rPr>
              <w:rFonts w:hint="eastAsia" w:ascii="仿宋_GB2312" w:hAnsi="仿宋" w:cs="仿宋"/>
              <w:sz w:val="28"/>
              <w:szCs w:val="28"/>
            </w:rPr>
            <w:fldChar w:fldCharType="end"/>
          </w:r>
          <w:r>
            <w:rPr>
              <w:rFonts w:hint="eastAsia" w:ascii="仿宋_GB2312" w:hAnsi="仿宋" w:cs="仿宋"/>
              <w:sz w:val="28"/>
              <w:szCs w:val="28"/>
            </w:rPr>
            <w:t>0</w:t>
          </w:r>
        </w:p>
        <w:p>
          <w:pPr>
            <w:ind w:firstLine="0" w:firstLineChars="0"/>
            <w:rPr>
              <w:rFonts w:ascii="仿宋_GB2312"/>
            </w:rPr>
            <w:sectPr>
              <w:headerReference r:id="rId11" w:type="default"/>
              <w:footerReference r:id="rId12" w:type="default"/>
              <w:pgSz w:w="11906" w:h="16838"/>
              <w:pgMar w:top="1440" w:right="1797" w:bottom="1440" w:left="1797" w:header="851" w:footer="992" w:gutter="0"/>
              <w:cols w:space="0" w:num="1"/>
              <w:docGrid w:type="lines" w:linePitch="435" w:charSpace="0"/>
            </w:sectPr>
          </w:pPr>
          <w:r>
            <w:rPr>
              <w:rFonts w:hint="eastAsia" w:ascii="仿宋_GB2312"/>
              <w:sz w:val="28"/>
              <w:szCs w:val="28"/>
            </w:rPr>
            <w:fldChar w:fldCharType="end"/>
          </w:r>
        </w:p>
      </w:sdtContent>
    </w:sdt>
    <w:p>
      <w:pPr>
        <w:keepNext w:val="0"/>
        <w:keepLines w:val="0"/>
        <w:pageBreakBefore w:val="0"/>
        <w:widowControl w:val="0"/>
        <w:tabs>
          <w:tab w:val="left" w:pos="4942"/>
        </w:tabs>
        <w:kinsoku/>
        <w:wordWrap/>
        <w:overflowPunct/>
        <w:topLinePunct w:val="0"/>
        <w:autoSpaceDE/>
        <w:autoSpaceDN/>
        <w:bidi w:val="0"/>
        <w:adjustRightInd w:val="0"/>
        <w:snapToGrid w:val="0"/>
        <w:ind w:firstLine="0" w:firstLineChars="0"/>
        <w:jc w:val="center"/>
        <w:textAlignment w:val="auto"/>
        <w:outlineLvl w:val="0"/>
        <w:rPr>
          <w:rFonts w:hint="eastAsia" w:ascii="方正小标宋简体" w:hAnsi="黑体" w:eastAsia="方正小标宋简体" w:cs="方正小标宋_GBK"/>
          <w:bCs/>
          <w:sz w:val="44"/>
          <w:szCs w:val="44"/>
        </w:rPr>
      </w:pPr>
      <w:bookmarkStart w:id="3" w:name="_Toc602978812"/>
      <w:bookmarkStart w:id="4" w:name="_Toc5402"/>
      <w:r>
        <w:rPr>
          <w:rFonts w:hint="eastAsia" w:ascii="方正小标宋简体" w:hAnsi="黑体" w:eastAsia="方正小标宋简体" w:cs="方正小标宋_GBK"/>
          <w:bCs/>
          <w:sz w:val="44"/>
          <w:szCs w:val="44"/>
        </w:rPr>
        <w:t>海南省交通运输厅</w:t>
      </w:r>
      <w:bookmarkEnd w:id="3"/>
      <w:bookmarkEnd w:id="4"/>
    </w:p>
    <w:p>
      <w:pPr>
        <w:keepNext w:val="0"/>
        <w:keepLines w:val="0"/>
        <w:pageBreakBefore w:val="0"/>
        <w:widowControl w:val="0"/>
        <w:tabs>
          <w:tab w:val="left" w:pos="4942"/>
        </w:tabs>
        <w:kinsoku/>
        <w:wordWrap/>
        <w:overflowPunct/>
        <w:topLinePunct w:val="0"/>
        <w:autoSpaceDE/>
        <w:autoSpaceDN/>
        <w:bidi w:val="0"/>
        <w:adjustRightInd w:val="0"/>
        <w:snapToGrid w:val="0"/>
        <w:ind w:firstLine="0" w:firstLineChars="0"/>
        <w:jc w:val="center"/>
        <w:textAlignment w:val="auto"/>
        <w:outlineLvl w:val="0"/>
        <w:rPr>
          <w:rFonts w:hint="eastAsia" w:ascii="方正小标宋简体" w:hAnsi="黑体" w:eastAsia="方正小标宋简体" w:cs="方正小标宋_GBK"/>
          <w:bCs/>
          <w:sz w:val="44"/>
          <w:szCs w:val="44"/>
        </w:rPr>
      </w:pPr>
      <w:r>
        <w:rPr>
          <w:rFonts w:hint="eastAsia" w:ascii="方正小标宋简体" w:hAnsi="黑体" w:eastAsia="方正小标宋简体" w:cs="方正小标宋_GBK"/>
          <w:bCs/>
          <w:sz w:val="44"/>
          <w:szCs w:val="44"/>
        </w:rPr>
        <w:t>2024年省道S303屯大线雨水岭大道至大拉段改建工程绩效评价报告</w:t>
      </w:r>
    </w:p>
    <w:p>
      <w:pPr>
        <w:keepNext w:val="0"/>
        <w:keepLines w:val="0"/>
        <w:pageBreakBefore w:val="0"/>
        <w:widowControl w:val="0"/>
        <w:kinsoku/>
        <w:wordWrap/>
        <w:overflowPunct/>
        <w:topLinePunct w:val="0"/>
        <w:autoSpaceDE/>
        <w:autoSpaceDN/>
        <w:bidi w:val="0"/>
        <w:adjustRightInd w:val="0"/>
        <w:textAlignment w:val="auto"/>
        <w:rPr>
          <w:rFonts w:ascii="仿宋_GB2312"/>
          <w:lang w:eastAsia="zh-Hans"/>
        </w:rPr>
      </w:pPr>
    </w:p>
    <w:p>
      <w:pPr>
        <w:pStyle w:val="7"/>
        <w:keepNext w:val="0"/>
        <w:keepLines w:val="0"/>
        <w:pageBreakBefore w:val="0"/>
        <w:widowControl w:val="0"/>
        <w:kinsoku/>
        <w:wordWrap/>
        <w:overflowPunct/>
        <w:topLinePunct w:val="0"/>
        <w:autoSpaceDE/>
        <w:autoSpaceDN/>
        <w:bidi w:val="0"/>
        <w:adjustRightInd w:val="0"/>
        <w:textAlignment w:val="auto"/>
        <w:outlineLvl w:val="0"/>
        <w:rPr>
          <w:rFonts w:hint="eastAsia" w:ascii="黑体" w:hAnsi="黑体" w:eastAsia="黑体" w:cs="Times New Roman"/>
          <w:bCs/>
        </w:rPr>
      </w:pPr>
      <w:bookmarkStart w:id="5" w:name="_Toc333"/>
      <w:r>
        <w:rPr>
          <w:rFonts w:hint="eastAsia" w:ascii="黑体" w:hAnsi="黑体" w:eastAsia="黑体" w:cs="Times New Roman"/>
          <w:bCs/>
        </w:rPr>
        <w:t>一、基本情况</w:t>
      </w:r>
      <w:bookmarkEnd w:id="5"/>
    </w:p>
    <w:p>
      <w:pPr>
        <w:pStyle w:val="7"/>
        <w:keepNext w:val="0"/>
        <w:keepLines w:val="0"/>
        <w:pageBreakBefore w:val="0"/>
        <w:widowControl w:val="0"/>
        <w:kinsoku/>
        <w:wordWrap/>
        <w:overflowPunct/>
        <w:topLinePunct w:val="0"/>
        <w:autoSpaceDE/>
        <w:autoSpaceDN/>
        <w:bidi w:val="0"/>
        <w:adjustRightInd w:val="0"/>
        <w:ind w:firstLine="643"/>
        <w:textAlignment w:val="auto"/>
        <w:outlineLvl w:val="1"/>
        <w:rPr>
          <w:rFonts w:ascii="楷体_GB2312" w:hAnsi="Times New Roman" w:eastAsia="楷体_GB2312" w:cs="Times New Roman"/>
          <w:b/>
          <w:bCs/>
          <w:spacing w:val="-9"/>
        </w:rPr>
      </w:pPr>
      <w:bookmarkStart w:id="6" w:name="_Toc31497"/>
      <w:r>
        <w:rPr>
          <w:rFonts w:hint="eastAsia" w:ascii="楷体_GB2312" w:hAnsi="Times New Roman" w:eastAsia="楷体_GB2312" w:cs="Times New Roman"/>
          <w:b/>
          <w:bCs/>
        </w:rPr>
        <w:t>（一</w:t>
      </w:r>
      <w:r>
        <w:rPr>
          <w:rFonts w:hint="eastAsia" w:ascii="楷体_GB2312" w:hAnsi="Times New Roman" w:eastAsia="楷体_GB2312" w:cs="Times New Roman"/>
          <w:b/>
          <w:bCs/>
          <w:spacing w:val="-29"/>
        </w:rPr>
        <w:t>）</w:t>
      </w:r>
      <w:r>
        <w:rPr>
          <w:rFonts w:hint="eastAsia" w:ascii="楷体_GB2312" w:hAnsi="Times New Roman" w:eastAsia="楷体_GB2312" w:cs="Times New Roman"/>
          <w:b/>
          <w:bCs/>
          <w:spacing w:val="-9"/>
        </w:rPr>
        <w:t>项目概况</w:t>
      </w:r>
      <w:bookmarkEnd w:id="6"/>
    </w:p>
    <w:p>
      <w:pPr>
        <w:keepNext w:val="0"/>
        <w:keepLines w:val="0"/>
        <w:pageBreakBefore w:val="0"/>
        <w:widowControl w:val="0"/>
        <w:kinsoku/>
        <w:wordWrap/>
        <w:overflowPunct/>
        <w:topLinePunct w:val="0"/>
        <w:autoSpaceDE/>
        <w:autoSpaceDN/>
        <w:bidi w:val="0"/>
        <w:adjustRightInd w:val="0"/>
        <w:ind w:firstLine="643"/>
        <w:textAlignment w:val="auto"/>
        <w:outlineLvl w:val="2"/>
        <w:rPr>
          <w:rFonts w:ascii="仿宋_GB2312"/>
          <w:b/>
          <w:bCs/>
        </w:rPr>
      </w:pPr>
      <w:bookmarkStart w:id="7" w:name="_Toc12127"/>
      <w:bookmarkStart w:id="8" w:name="_Toc23620"/>
      <w:bookmarkStart w:id="9" w:name="_Toc28887"/>
      <w:bookmarkStart w:id="10" w:name="_Toc28168"/>
      <w:bookmarkStart w:id="11" w:name="_Toc18675"/>
      <w:r>
        <w:rPr>
          <w:rFonts w:hint="eastAsia" w:ascii="仿宋_GB2312"/>
          <w:b/>
          <w:bCs/>
        </w:rPr>
        <w:t>1.项目背景</w:t>
      </w:r>
      <w:bookmarkEnd w:id="7"/>
      <w:bookmarkEnd w:id="8"/>
      <w:bookmarkEnd w:id="9"/>
      <w:bookmarkEnd w:id="10"/>
      <w:bookmarkEnd w:id="11"/>
    </w:p>
    <w:p>
      <w:pPr>
        <w:keepNext w:val="0"/>
        <w:keepLines w:val="0"/>
        <w:pageBreakBefore w:val="0"/>
        <w:widowControl w:val="0"/>
        <w:kinsoku/>
        <w:wordWrap/>
        <w:overflowPunct/>
        <w:topLinePunct w:val="0"/>
        <w:autoSpaceDE/>
        <w:autoSpaceDN/>
        <w:bidi w:val="0"/>
        <w:adjustRightInd w:val="0"/>
        <w:textAlignment w:val="auto"/>
        <w:rPr>
          <w:rFonts w:ascii="仿宋_GB2312"/>
        </w:rPr>
      </w:pPr>
      <w:r>
        <w:rPr>
          <w:rFonts w:hint="eastAsia" w:ascii="仿宋_GB2312"/>
        </w:rPr>
        <w:t>省道S303屯大线雨水岭大道至大拉段改建工程位于海南岛中部地区，是海南省交通主干线路网的重要组成部分，项目连接屯昌县、澄迈县各乡镇，是琼北地区之间往来的重要通道。项目的实施将有利于提高道路服务水平，改善海南省中北部地区运输条件。将实现屯昌县和澄迈县旅游景区交通快速转换，改善通往各旅游景点的交通条件，并且通过中线高速和海榆中线与海南全省快速互通，为中部地区旅游发展带来新契机。</w:t>
      </w:r>
    </w:p>
    <w:p>
      <w:pPr>
        <w:keepNext w:val="0"/>
        <w:keepLines w:val="0"/>
        <w:pageBreakBefore w:val="0"/>
        <w:widowControl w:val="0"/>
        <w:kinsoku/>
        <w:wordWrap/>
        <w:overflowPunct/>
        <w:topLinePunct w:val="0"/>
        <w:autoSpaceDE/>
        <w:autoSpaceDN/>
        <w:bidi w:val="0"/>
        <w:adjustRightInd w:val="0"/>
        <w:textAlignment w:val="auto"/>
        <w:rPr>
          <w:rFonts w:ascii="仿宋_GB2312"/>
        </w:rPr>
      </w:pPr>
      <w:r>
        <w:rPr>
          <w:rFonts w:hint="eastAsia" w:ascii="仿宋_GB2312"/>
        </w:rPr>
        <w:t>根据《</w:t>
      </w:r>
      <w:r>
        <w:rPr>
          <w:rFonts w:hint="eastAsia" w:ascii="仿宋_GB2312" w:cs="仿宋_GB2312"/>
          <w:kern w:val="0"/>
          <w:szCs w:val="32"/>
        </w:rPr>
        <w:t>海南省发展和改革委员会关于批复省道</w:t>
      </w:r>
      <w:r>
        <w:rPr>
          <w:rFonts w:hint="eastAsia" w:ascii="仿宋_GB2312"/>
          <w:kern w:val="0"/>
          <w:szCs w:val="32"/>
        </w:rPr>
        <w:t>S303</w:t>
      </w:r>
      <w:r>
        <w:rPr>
          <w:rFonts w:hint="eastAsia" w:ascii="仿宋_GB2312" w:cs="仿宋_GB2312"/>
          <w:kern w:val="0"/>
          <w:szCs w:val="32"/>
        </w:rPr>
        <w:t>屯大线雨水岭大道至大拉段改建工程初步设计及概算的函</w:t>
      </w:r>
      <w:r>
        <w:rPr>
          <w:rFonts w:hint="eastAsia" w:ascii="仿宋_GB2312"/>
        </w:rPr>
        <w:t>》（</w:t>
      </w:r>
      <w:r>
        <w:rPr>
          <w:rFonts w:hint="eastAsia" w:ascii="仿宋_GB2312" w:cs="仿宋_GB2312"/>
          <w:kern w:val="0"/>
          <w:szCs w:val="32"/>
        </w:rPr>
        <w:t>琼发改审批函</w:t>
      </w:r>
      <w:r>
        <w:rPr>
          <w:rFonts w:hint="eastAsia" w:ascii="仿宋_GB2312"/>
          <w:kern w:val="0"/>
          <w:szCs w:val="32"/>
        </w:rPr>
        <w:t>〔2023〕415</w:t>
      </w:r>
      <w:r>
        <w:rPr>
          <w:rFonts w:hint="eastAsia" w:ascii="仿宋_GB2312" w:cs="仿宋_GB2312"/>
          <w:kern w:val="0"/>
          <w:szCs w:val="32"/>
        </w:rPr>
        <w:t>号）</w:t>
      </w:r>
      <w:r>
        <w:rPr>
          <w:rFonts w:hint="eastAsia" w:ascii="仿宋_GB2312"/>
        </w:rPr>
        <w:t>，该项目的投资概算为154,746.84万元。</w:t>
      </w:r>
    </w:p>
    <w:p>
      <w:pPr>
        <w:keepNext w:val="0"/>
        <w:keepLines w:val="0"/>
        <w:pageBreakBefore w:val="0"/>
        <w:widowControl w:val="0"/>
        <w:kinsoku/>
        <w:wordWrap/>
        <w:overflowPunct/>
        <w:topLinePunct w:val="0"/>
        <w:autoSpaceDE/>
        <w:autoSpaceDN/>
        <w:bidi w:val="0"/>
        <w:adjustRightInd w:val="0"/>
        <w:ind w:firstLine="643"/>
        <w:textAlignment w:val="auto"/>
        <w:outlineLvl w:val="2"/>
        <w:rPr>
          <w:rFonts w:ascii="仿宋_GB2312"/>
          <w:b/>
          <w:bCs/>
        </w:rPr>
      </w:pPr>
      <w:bookmarkStart w:id="12" w:name="_Toc4924"/>
      <w:bookmarkStart w:id="13" w:name="_Toc20891"/>
      <w:bookmarkStart w:id="14" w:name="_Toc4328"/>
      <w:bookmarkStart w:id="15" w:name="_Toc29692"/>
      <w:bookmarkStart w:id="16" w:name="_Toc21471"/>
      <w:r>
        <w:rPr>
          <w:rFonts w:hint="eastAsia" w:ascii="仿宋_GB2312"/>
          <w:b/>
          <w:bCs/>
        </w:rPr>
        <w:t>2.项目实施进展、资金安排及使用情况</w:t>
      </w:r>
      <w:bookmarkEnd w:id="12"/>
      <w:bookmarkEnd w:id="13"/>
      <w:bookmarkEnd w:id="14"/>
      <w:bookmarkEnd w:id="15"/>
      <w:bookmarkEnd w:id="16"/>
    </w:p>
    <w:p>
      <w:pPr>
        <w:keepNext w:val="0"/>
        <w:keepLines w:val="0"/>
        <w:pageBreakBefore w:val="0"/>
        <w:widowControl w:val="0"/>
        <w:kinsoku/>
        <w:wordWrap/>
        <w:overflowPunct/>
        <w:topLinePunct w:val="0"/>
        <w:autoSpaceDE/>
        <w:autoSpaceDN/>
        <w:bidi w:val="0"/>
        <w:adjustRightInd w:val="0"/>
        <w:textAlignment w:val="auto"/>
        <w:rPr>
          <w:rFonts w:ascii="仿宋_GB2312"/>
        </w:rPr>
      </w:pPr>
      <w:r>
        <w:rPr>
          <w:rFonts w:hint="eastAsia" w:ascii="仿宋_GB2312"/>
        </w:rPr>
        <w:t>项目初步设计及概算于2023年6月7日得到批复，总投资概算154,746.84万元。</w:t>
      </w:r>
    </w:p>
    <w:p>
      <w:pPr>
        <w:keepNext w:val="0"/>
        <w:keepLines w:val="0"/>
        <w:pageBreakBefore w:val="0"/>
        <w:widowControl w:val="0"/>
        <w:kinsoku/>
        <w:wordWrap/>
        <w:overflowPunct/>
        <w:topLinePunct w:val="0"/>
        <w:autoSpaceDE/>
        <w:autoSpaceDN/>
        <w:bidi w:val="0"/>
        <w:adjustRightInd w:val="0"/>
        <w:textAlignment w:val="auto"/>
        <w:rPr>
          <w:rFonts w:ascii="仿宋_GB2312"/>
        </w:rPr>
      </w:pPr>
      <w:r>
        <w:rPr>
          <w:rFonts w:hint="eastAsia" w:ascii="仿宋_GB2312"/>
        </w:rPr>
        <w:t>项目起点位于屯昌县境内屯城至雨水岭段终点（桩号K4+000），终点位于澄迈县境内大拉村附近与海榆西线G225相接处。本项目沿线经过屯城镇、雨水岭农场、西昌镇、文儒镇、加乐镇、金江镇。全长51.243公里。其中二级公路采用双向两车道公路标准，设计速度60公里/小时；一级公路采用双向四车道公路标准，设计速度60公里/小时。</w:t>
      </w:r>
    </w:p>
    <w:p>
      <w:pPr>
        <w:keepNext w:val="0"/>
        <w:keepLines w:val="0"/>
        <w:pageBreakBefore w:val="0"/>
        <w:widowControl w:val="0"/>
        <w:kinsoku/>
        <w:wordWrap/>
        <w:overflowPunct/>
        <w:topLinePunct w:val="0"/>
        <w:autoSpaceDE/>
        <w:autoSpaceDN/>
        <w:bidi w:val="0"/>
        <w:adjustRightInd w:val="0"/>
        <w:textAlignment w:val="auto"/>
        <w:rPr>
          <w:rFonts w:ascii="仿宋_GB2312"/>
        </w:rPr>
      </w:pPr>
      <w:r>
        <w:rPr>
          <w:rFonts w:hint="eastAsia" w:ascii="仿宋_GB2312"/>
        </w:rPr>
        <w:t>省道S303屯大线雨水岭大道至大拉段改建工程项目2024年预算资金32,700.00万元，实际到位资金32,700.00万元，截至2024年12月31日，实际支出资金32,700.00万元，资金使用率100%。</w:t>
      </w:r>
    </w:p>
    <w:p>
      <w:pPr>
        <w:pStyle w:val="7"/>
        <w:keepNext w:val="0"/>
        <w:keepLines w:val="0"/>
        <w:pageBreakBefore w:val="0"/>
        <w:widowControl w:val="0"/>
        <w:kinsoku/>
        <w:wordWrap/>
        <w:overflowPunct/>
        <w:topLinePunct w:val="0"/>
        <w:autoSpaceDE/>
        <w:autoSpaceDN/>
        <w:bidi w:val="0"/>
        <w:adjustRightInd w:val="0"/>
        <w:ind w:firstLine="643"/>
        <w:textAlignment w:val="auto"/>
        <w:outlineLvl w:val="1"/>
        <w:rPr>
          <w:rFonts w:ascii="楷体_GB2312" w:hAnsi="Times New Roman" w:eastAsia="楷体_GB2312" w:cs="Times New Roman"/>
          <w:b/>
          <w:bCs/>
        </w:rPr>
      </w:pPr>
      <w:bookmarkStart w:id="17" w:name="_Toc26424"/>
      <w:r>
        <w:rPr>
          <w:rFonts w:hint="eastAsia" w:ascii="楷体_GB2312" w:hAnsi="Times New Roman" w:eastAsia="楷体_GB2312" w:cs="Times New Roman"/>
          <w:b/>
          <w:bCs/>
        </w:rPr>
        <w:t>（二）项目绩效目标</w:t>
      </w:r>
      <w:bookmarkEnd w:id="17"/>
    </w:p>
    <w:p>
      <w:pPr>
        <w:keepNext w:val="0"/>
        <w:keepLines w:val="0"/>
        <w:pageBreakBefore w:val="0"/>
        <w:widowControl w:val="0"/>
        <w:kinsoku/>
        <w:wordWrap/>
        <w:overflowPunct/>
        <w:topLinePunct w:val="0"/>
        <w:autoSpaceDE/>
        <w:autoSpaceDN/>
        <w:bidi w:val="0"/>
        <w:adjustRightInd w:val="0"/>
        <w:textAlignment w:val="auto"/>
        <w:rPr>
          <w:rFonts w:ascii="仿宋_GB2312"/>
        </w:rPr>
      </w:pPr>
      <w:r>
        <w:rPr>
          <w:rFonts w:hint="eastAsia" w:ascii="仿宋_GB2312"/>
        </w:rPr>
        <w:t>结合部门编制的绩效目标，评价组结合项目工作目标进行了梳理，梳理后的绩效目标及指标如下：</w:t>
      </w:r>
    </w:p>
    <w:tbl>
      <w:tblPr>
        <w:tblStyle w:val="17"/>
        <w:tblW w:w="5111"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187"/>
        <w:gridCol w:w="1247"/>
        <w:gridCol w:w="2022"/>
        <w:gridCol w:w="1499"/>
        <w:gridCol w:w="276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681" w:type="pct"/>
            <w:tcBorders>
              <w:bottom w:val="single" w:color="000000" w:sz="4" w:space="0"/>
              <w:right w:val="single" w:color="000000" w:sz="4" w:space="0"/>
            </w:tcBorders>
            <w:shd w:val="clear" w:color="auto" w:fill="FFFFFF"/>
            <w:vAlign w:val="center"/>
          </w:tcPr>
          <w:p>
            <w:pPr>
              <w:widowControl/>
              <w:spacing w:line="440" w:lineRule="exact"/>
              <w:ind w:firstLine="0" w:firstLineChars="0"/>
              <w:textAlignment w:val="center"/>
              <w:rPr>
                <w:rFonts w:ascii="仿宋_GB2312"/>
                <w:b/>
                <w:bCs/>
                <w:sz w:val="24"/>
              </w:rPr>
            </w:pPr>
            <w:r>
              <w:rPr>
                <w:rFonts w:hint="eastAsia" w:ascii="仿宋_GB2312"/>
                <w:b/>
                <w:bCs/>
                <w:kern w:val="0"/>
                <w:sz w:val="24"/>
                <w:lang w:bidi="ar"/>
              </w:rPr>
              <w:t>2024年总体目标</w:t>
            </w:r>
          </w:p>
        </w:tc>
        <w:tc>
          <w:tcPr>
            <w:tcW w:w="4319" w:type="pct"/>
            <w:gridSpan w:val="4"/>
            <w:tcBorders>
              <w:left w:val="nil"/>
              <w:bottom w:val="nil"/>
            </w:tcBorders>
            <w:shd w:val="clear" w:color="auto" w:fill="auto"/>
            <w:vAlign w:val="center"/>
          </w:tcPr>
          <w:p>
            <w:pPr>
              <w:widowControl/>
              <w:spacing w:line="440" w:lineRule="exact"/>
              <w:ind w:firstLine="0" w:firstLineChars="0"/>
              <w:jc w:val="left"/>
              <w:textAlignment w:val="bottom"/>
              <w:rPr>
                <w:rFonts w:ascii="仿宋_GB2312"/>
                <w:sz w:val="24"/>
              </w:rPr>
            </w:pPr>
            <w:r>
              <w:rPr>
                <w:rFonts w:hint="eastAsia" w:ascii="仿宋_GB2312"/>
                <w:sz w:val="24"/>
              </w:rPr>
              <w:t>通过完成省道S303屯大线雨水岭大道至大拉段改建工程，提高道路服务水平，改善海南省中北部地区运输条件。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681" w:type="pct"/>
            <w:tcBorders>
              <w:top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textAlignment w:val="center"/>
              <w:rPr>
                <w:rFonts w:ascii="仿宋_GB2312"/>
                <w:b/>
                <w:bCs/>
                <w:sz w:val="24"/>
              </w:rPr>
            </w:pPr>
            <w:r>
              <w:rPr>
                <w:rFonts w:hint="eastAsia" w:ascii="仿宋_GB2312"/>
                <w:b/>
                <w:bCs/>
                <w:kern w:val="0"/>
                <w:sz w:val="24"/>
                <w:lang w:bidi="ar"/>
              </w:rPr>
              <w:t>一级指标</w:t>
            </w:r>
          </w:p>
        </w:tc>
        <w:tc>
          <w:tcPr>
            <w:tcW w:w="7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textAlignment w:val="center"/>
              <w:rPr>
                <w:rFonts w:ascii="仿宋_GB2312"/>
                <w:b/>
                <w:bCs/>
                <w:sz w:val="24"/>
              </w:rPr>
            </w:pPr>
            <w:r>
              <w:rPr>
                <w:rFonts w:hint="eastAsia" w:ascii="仿宋_GB2312"/>
                <w:b/>
                <w:bCs/>
                <w:kern w:val="0"/>
                <w:sz w:val="24"/>
                <w:lang w:bidi="ar"/>
              </w:rPr>
              <w:t>二级指标</w:t>
            </w:r>
          </w:p>
        </w:tc>
        <w:tc>
          <w:tcPr>
            <w:tcW w:w="1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ascii="仿宋_GB2312"/>
                <w:b/>
                <w:bCs/>
                <w:sz w:val="24"/>
              </w:rPr>
            </w:pPr>
            <w:r>
              <w:rPr>
                <w:rFonts w:hint="eastAsia" w:ascii="仿宋_GB2312"/>
                <w:b/>
                <w:bCs/>
                <w:kern w:val="0"/>
                <w:sz w:val="24"/>
                <w:lang w:bidi="ar"/>
              </w:rPr>
              <w:t>三级指标</w:t>
            </w:r>
          </w:p>
        </w:tc>
        <w:tc>
          <w:tcPr>
            <w:tcW w:w="8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ascii="仿宋_GB2312"/>
                <w:b/>
                <w:bCs/>
                <w:sz w:val="24"/>
              </w:rPr>
            </w:pPr>
            <w:r>
              <w:rPr>
                <w:rFonts w:hint="eastAsia" w:ascii="仿宋_GB2312"/>
                <w:b/>
                <w:bCs/>
                <w:kern w:val="0"/>
                <w:sz w:val="24"/>
                <w:lang w:bidi="ar"/>
              </w:rPr>
              <w:t>指标值</w:t>
            </w:r>
          </w:p>
        </w:tc>
        <w:tc>
          <w:tcPr>
            <w:tcW w:w="1584" w:type="pct"/>
            <w:tcBorders>
              <w:top w:val="single" w:color="000000" w:sz="4" w:space="0"/>
              <w:left w:val="single" w:color="000000" w:sz="4" w:space="0"/>
              <w:bottom w:val="single" w:color="000000" w:sz="4" w:space="0"/>
            </w:tcBorders>
            <w:shd w:val="clear" w:color="auto" w:fill="FFFFFF"/>
            <w:vAlign w:val="center"/>
          </w:tcPr>
          <w:p>
            <w:pPr>
              <w:widowControl/>
              <w:spacing w:line="440" w:lineRule="exact"/>
              <w:ind w:firstLine="0" w:firstLineChars="0"/>
              <w:jc w:val="center"/>
              <w:textAlignment w:val="center"/>
              <w:rPr>
                <w:rFonts w:ascii="仿宋_GB2312"/>
                <w:b/>
                <w:bCs/>
                <w:sz w:val="24"/>
              </w:rPr>
            </w:pPr>
            <w:r>
              <w:rPr>
                <w:rFonts w:hint="eastAsia" w:ascii="仿宋_GB2312"/>
                <w:b/>
                <w:bCs/>
                <w:kern w:val="0"/>
                <w:sz w:val="24"/>
                <w:lang w:bidi="ar"/>
              </w:rPr>
              <w:t>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81" w:type="pct"/>
            <w:vMerge w:val="restart"/>
            <w:tcBorders>
              <w:top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产出</w:t>
            </w:r>
          </w:p>
        </w:tc>
        <w:tc>
          <w:tcPr>
            <w:tcW w:w="7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产出数量</w:t>
            </w:r>
          </w:p>
        </w:tc>
        <w:tc>
          <w:tcPr>
            <w:tcW w:w="11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计划投资完成率</w:t>
            </w:r>
          </w:p>
        </w:tc>
        <w:tc>
          <w:tcPr>
            <w:tcW w:w="8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≥80.00%</w:t>
            </w:r>
          </w:p>
        </w:tc>
        <w:tc>
          <w:tcPr>
            <w:tcW w:w="1584" w:type="pct"/>
            <w:tcBorders>
              <w:top w:val="single" w:color="000000" w:sz="4" w:space="0"/>
              <w:left w:val="single" w:color="000000" w:sz="4" w:space="0"/>
              <w:bottom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考察项目完成情况。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81" w:type="pct"/>
            <w:vMerge w:val="continue"/>
            <w:tcBorders>
              <w:top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p>
        </w:tc>
        <w:tc>
          <w:tcPr>
            <w:tcW w:w="7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产出质量</w:t>
            </w:r>
          </w:p>
        </w:tc>
        <w:tc>
          <w:tcPr>
            <w:tcW w:w="11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主体工程合格率</w:t>
            </w:r>
          </w:p>
        </w:tc>
        <w:tc>
          <w:tcPr>
            <w:tcW w:w="8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=100%</w:t>
            </w:r>
          </w:p>
        </w:tc>
        <w:tc>
          <w:tcPr>
            <w:tcW w:w="1584" w:type="pct"/>
            <w:tcBorders>
              <w:top w:val="single" w:color="000000" w:sz="4" w:space="0"/>
              <w:left w:val="single" w:color="000000" w:sz="4" w:space="0"/>
              <w:bottom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考察项目工程验收合格情况。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81" w:type="pct"/>
            <w:vMerge w:val="continue"/>
            <w:tcBorders>
              <w:top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p>
        </w:tc>
        <w:tc>
          <w:tcPr>
            <w:tcW w:w="7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产出时效</w:t>
            </w:r>
          </w:p>
        </w:tc>
        <w:tc>
          <w:tcPr>
            <w:tcW w:w="11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工程建设按期完工率</w:t>
            </w:r>
          </w:p>
        </w:tc>
        <w:tc>
          <w:tcPr>
            <w:tcW w:w="8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=100%</w:t>
            </w:r>
          </w:p>
        </w:tc>
        <w:tc>
          <w:tcPr>
            <w:tcW w:w="1584" w:type="pct"/>
            <w:tcBorders>
              <w:top w:val="single" w:color="000000" w:sz="4" w:space="0"/>
              <w:left w:val="single" w:color="000000" w:sz="4" w:space="0"/>
              <w:bottom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考察项目工程建设完成时效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81" w:type="pct"/>
            <w:vMerge w:val="continue"/>
            <w:tcBorders>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p>
        </w:tc>
        <w:tc>
          <w:tcPr>
            <w:tcW w:w="7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经济成本</w:t>
            </w:r>
          </w:p>
        </w:tc>
        <w:tc>
          <w:tcPr>
            <w:tcW w:w="11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超概率</w:t>
            </w:r>
            <w:r>
              <w:rPr>
                <w:rFonts w:hint="eastAsia" w:ascii="仿宋_GB2312"/>
                <w:kern w:val="0"/>
                <w:sz w:val="24"/>
                <w:lang w:bidi="ar"/>
              </w:rPr>
              <w:tab/>
            </w:r>
          </w:p>
        </w:tc>
        <w:tc>
          <w:tcPr>
            <w:tcW w:w="8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0%</w:t>
            </w:r>
          </w:p>
        </w:tc>
        <w:tc>
          <w:tcPr>
            <w:tcW w:w="1584" w:type="pct"/>
            <w:tcBorders>
              <w:top w:val="single" w:color="000000" w:sz="4" w:space="0"/>
              <w:left w:val="single" w:color="000000" w:sz="4" w:space="0"/>
              <w:bottom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考察项目支出是否符合概算批复的标准。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81" w:type="pct"/>
            <w:vMerge w:val="restart"/>
            <w:tcBorders>
              <w:top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效益</w:t>
            </w:r>
          </w:p>
        </w:tc>
        <w:tc>
          <w:tcPr>
            <w:tcW w:w="7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社会效益</w:t>
            </w:r>
          </w:p>
        </w:tc>
        <w:tc>
          <w:tcPr>
            <w:tcW w:w="11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省道改建路段完好率</w:t>
            </w:r>
          </w:p>
        </w:tc>
        <w:tc>
          <w:tcPr>
            <w:tcW w:w="8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≥95%</w:t>
            </w:r>
          </w:p>
        </w:tc>
        <w:tc>
          <w:tcPr>
            <w:tcW w:w="1584" w:type="pct"/>
            <w:tcBorders>
              <w:top w:val="single" w:color="000000" w:sz="4" w:space="0"/>
              <w:left w:val="single" w:color="000000" w:sz="4" w:space="0"/>
              <w:bottom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考察项目实施对省道改建路段路面保护情况。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81" w:type="pct"/>
            <w:vMerge w:val="continue"/>
            <w:tcBorders>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p>
        </w:tc>
        <w:tc>
          <w:tcPr>
            <w:tcW w:w="7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社会效益</w:t>
            </w:r>
          </w:p>
        </w:tc>
        <w:tc>
          <w:tcPr>
            <w:tcW w:w="11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海南省中北部地区运输条件</w:t>
            </w:r>
            <w:r>
              <w:rPr>
                <w:rFonts w:hint="eastAsia" w:ascii="仿宋_GB2312"/>
                <w:kern w:val="0"/>
                <w:sz w:val="24"/>
                <w:lang w:bidi="ar"/>
              </w:rPr>
              <w:tab/>
            </w:r>
          </w:p>
        </w:tc>
        <w:tc>
          <w:tcPr>
            <w:tcW w:w="8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改善</w:t>
            </w:r>
          </w:p>
        </w:tc>
        <w:tc>
          <w:tcPr>
            <w:tcW w:w="1584" w:type="pct"/>
            <w:tcBorders>
              <w:top w:val="single" w:color="000000" w:sz="4" w:space="0"/>
              <w:left w:val="single" w:color="000000" w:sz="4" w:space="0"/>
              <w:bottom w:val="single" w:color="000000" w:sz="4" w:space="0"/>
            </w:tcBorders>
            <w:shd w:val="clear" w:color="auto" w:fill="FFFFFF"/>
            <w:vAlign w:val="center"/>
          </w:tcPr>
          <w:p>
            <w:pPr>
              <w:widowControl/>
              <w:spacing w:line="440" w:lineRule="exact"/>
              <w:ind w:firstLine="0" w:firstLineChars="0"/>
              <w:jc w:val="center"/>
              <w:textAlignment w:val="center"/>
              <w:rPr>
                <w:rFonts w:ascii="仿宋_GB2312"/>
                <w:kern w:val="0"/>
                <w:sz w:val="24"/>
                <w:lang w:bidi="ar"/>
              </w:rPr>
            </w:pPr>
            <w:r>
              <w:rPr>
                <w:rFonts w:hint="eastAsia" w:ascii="仿宋_GB2312"/>
                <w:kern w:val="0"/>
                <w:sz w:val="24"/>
                <w:lang w:bidi="ar"/>
              </w:rPr>
              <w:t>考察项目是否改善海南省中北部地区运输条件。</w:t>
            </w:r>
          </w:p>
        </w:tc>
      </w:tr>
    </w:tbl>
    <w:p>
      <w:pPr>
        <w:pStyle w:val="7"/>
        <w:outlineLvl w:val="0"/>
        <w:rPr>
          <w:rFonts w:hint="eastAsia" w:ascii="黑体" w:hAnsi="黑体" w:eastAsia="黑体" w:cs="Times New Roman"/>
          <w:bCs/>
        </w:rPr>
      </w:pPr>
      <w:bookmarkStart w:id="18" w:name="_Toc17237"/>
      <w:r>
        <w:rPr>
          <w:rFonts w:hint="eastAsia" w:ascii="黑体" w:hAnsi="黑体" w:eastAsia="黑体" w:cs="Times New Roman"/>
          <w:bCs/>
        </w:rPr>
        <w:t>二、绩效评价工作开展情况</w:t>
      </w:r>
      <w:bookmarkEnd w:id="18"/>
    </w:p>
    <w:p>
      <w:pPr>
        <w:pStyle w:val="7"/>
        <w:ind w:firstLine="643"/>
        <w:outlineLvl w:val="1"/>
        <w:rPr>
          <w:rFonts w:ascii="楷体_GB2312" w:hAnsi="Times New Roman" w:eastAsia="楷体_GB2312" w:cs="Times New Roman"/>
          <w:b/>
          <w:bCs/>
        </w:rPr>
      </w:pPr>
      <w:bookmarkStart w:id="19" w:name="_Toc18962"/>
      <w:r>
        <w:rPr>
          <w:rFonts w:hint="eastAsia" w:ascii="楷体_GB2312" w:hAnsi="Times New Roman" w:eastAsia="楷体_GB2312" w:cs="Times New Roman"/>
          <w:b/>
          <w:bCs/>
        </w:rPr>
        <w:t>（一）绩效评价目的、对象和范围</w:t>
      </w:r>
      <w:bookmarkEnd w:id="19"/>
    </w:p>
    <w:p>
      <w:pPr>
        <w:ind w:firstLine="643"/>
        <w:outlineLvl w:val="2"/>
        <w:rPr>
          <w:rFonts w:ascii="仿宋_GB2312"/>
          <w:b/>
          <w:bCs/>
        </w:rPr>
      </w:pPr>
      <w:bookmarkStart w:id="20" w:name="_Toc23754"/>
      <w:bookmarkStart w:id="21" w:name="_Toc7557"/>
      <w:bookmarkStart w:id="22" w:name="_Toc28291"/>
      <w:bookmarkStart w:id="23" w:name="_Toc20173"/>
      <w:bookmarkStart w:id="24" w:name="_Toc28648"/>
      <w:r>
        <w:rPr>
          <w:rFonts w:hint="eastAsia" w:ascii="仿宋_GB2312"/>
          <w:b/>
          <w:bCs/>
        </w:rPr>
        <w:t>1.</w:t>
      </w:r>
      <w:r>
        <w:rPr>
          <w:rFonts w:hint="eastAsia" w:ascii="仿宋_GB2312"/>
          <w:b/>
          <w:bCs/>
          <w:lang w:eastAsia="zh-Hans"/>
        </w:rPr>
        <w:t>绩效评价目的</w:t>
      </w:r>
      <w:bookmarkEnd w:id="20"/>
      <w:bookmarkEnd w:id="21"/>
      <w:bookmarkEnd w:id="22"/>
      <w:bookmarkEnd w:id="23"/>
      <w:bookmarkEnd w:id="24"/>
    </w:p>
    <w:p>
      <w:pPr>
        <w:rPr>
          <w:rFonts w:ascii="仿宋_GB2312"/>
        </w:rPr>
      </w:pPr>
      <w:r>
        <w:rPr>
          <w:rFonts w:hint="eastAsia" w:ascii="仿宋_GB2312"/>
        </w:rPr>
        <w:t>财政支出绩效评价旨在通过评价改善部门的财政支出管理，优化资源配置及提高公共服务水平。结合绩效评价基本原理和项目特点，本次绩效评价的目的主要包括以下三个方面：</w:t>
      </w:r>
    </w:p>
    <w:p>
      <w:pPr>
        <w:rPr>
          <w:rFonts w:ascii="仿宋_GB2312"/>
        </w:rPr>
      </w:pPr>
      <w:r>
        <w:rPr>
          <w:rFonts w:hint="eastAsia" w:ascii="仿宋_GB2312"/>
          <w:lang w:eastAsia="zh-Hans"/>
        </w:rPr>
        <w:t>（1）</w:t>
      </w:r>
      <w:r>
        <w:rPr>
          <w:rFonts w:hint="eastAsia" w:ascii="仿宋_GB2312"/>
        </w:rPr>
        <w:t>围绕项目年度预算编制、预算执行、工作计划完成情况，对项目开展的经济性进行评价，总结预算管理中的经验，分析预算编制中存在的不足，并针对项目以后年度预算编制提供可行性参考建议。</w:t>
      </w:r>
    </w:p>
    <w:p>
      <w:pPr>
        <w:rPr>
          <w:rFonts w:ascii="仿宋_GB2312"/>
        </w:rPr>
      </w:pPr>
      <w:r>
        <w:rPr>
          <w:rFonts w:hint="eastAsia" w:ascii="仿宋_GB2312"/>
          <w:lang w:eastAsia="zh-Hans"/>
        </w:rPr>
        <w:t>（2）</w:t>
      </w:r>
      <w:r>
        <w:rPr>
          <w:rFonts w:hint="eastAsia" w:ascii="仿宋_GB2312"/>
        </w:rPr>
        <w:t>围绕项目管理、财务管理和采购管理的规范性、年度项目产出质量、年度工作完成及时性等方面，对项目开展的效率性进行评价，总结项目管理中的经验做法，从而为本项目以后年度项目管理优化提供参考建议。</w:t>
      </w:r>
    </w:p>
    <w:p>
      <w:pPr>
        <w:rPr>
          <w:rFonts w:ascii="仿宋_GB2312"/>
        </w:rPr>
      </w:pPr>
      <w:r>
        <w:rPr>
          <w:rFonts w:hint="eastAsia" w:ascii="仿宋_GB2312"/>
          <w:lang w:eastAsia="zh-Hans"/>
        </w:rPr>
        <w:t>（3）</w:t>
      </w:r>
      <w:r>
        <w:rPr>
          <w:rFonts w:hint="eastAsia" w:ascii="仿宋_GB2312"/>
        </w:rPr>
        <w:t>围绕年度项目效果及受益对象满意度调查结果，对项目开展的效益性进行评价。</w:t>
      </w:r>
    </w:p>
    <w:p>
      <w:pPr>
        <w:ind w:firstLine="643"/>
        <w:outlineLvl w:val="2"/>
        <w:rPr>
          <w:rFonts w:ascii="仿宋_GB2312"/>
          <w:b/>
          <w:bCs/>
          <w:lang w:eastAsia="zh-Hans"/>
        </w:rPr>
      </w:pPr>
      <w:bookmarkStart w:id="25" w:name="_Toc7137"/>
      <w:bookmarkStart w:id="26" w:name="_Toc30520"/>
      <w:bookmarkStart w:id="27" w:name="_Toc9966"/>
      <w:bookmarkStart w:id="28" w:name="_Toc18789"/>
      <w:bookmarkStart w:id="29" w:name="_Toc29499"/>
      <w:r>
        <w:rPr>
          <w:rFonts w:hint="eastAsia" w:ascii="仿宋_GB2312"/>
          <w:b/>
          <w:bCs/>
        </w:rPr>
        <w:t>2.</w:t>
      </w:r>
      <w:r>
        <w:rPr>
          <w:rFonts w:hint="eastAsia" w:ascii="仿宋_GB2312"/>
          <w:b/>
          <w:bCs/>
          <w:lang w:eastAsia="zh-Hans"/>
        </w:rPr>
        <w:t>绩效评价对象与范围</w:t>
      </w:r>
      <w:bookmarkEnd w:id="25"/>
      <w:bookmarkEnd w:id="26"/>
      <w:bookmarkEnd w:id="27"/>
      <w:bookmarkEnd w:id="28"/>
      <w:bookmarkEnd w:id="29"/>
    </w:p>
    <w:p>
      <w:pPr>
        <w:rPr>
          <w:rFonts w:ascii="仿宋_GB2312"/>
        </w:rPr>
      </w:pPr>
      <w:r>
        <w:rPr>
          <w:rFonts w:hint="eastAsia" w:ascii="仿宋_GB2312"/>
          <w:lang w:eastAsia="zh-Hans"/>
        </w:rPr>
        <w:t>本次绩效评价的对象为</w:t>
      </w:r>
      <w:r>
        <w:rPr>
          <w:rFonts w:hint="eastAsia" w:ascii="仿宋_GB2312"/>
        </w:rPr>
        <w:t>海南省交通运输厅2024年</w:t>
      </w:r>
      <w:r>
        <w:rPr>
          <w:rFonts w:hint="eastAsia" w:ascii="仿宋_GB2312" w:cs="仿宋_GB2312"/>
          <w:kern w:val="0"/>
          <w:szCs w:val="32"/>
        </w:rPr>
        <w:t>省道</w:t>
      </w:r>
      <w:r>
        <w:rPr>
          <w:rFonts w:hint="eastAsia" w:ascii="仿宋_GB2312"/>
          <w:kern w:val="0"/>
          <w:szCs w:val="32"/>
        </w:rPr>
        <w:t>S303</w:t>
      </w:r>
      <w:r>
        <w:rPr>
          <w:rFonts w:hint="eastAsia" w:ascii="仿宋_GB2312" w:cs="仿宋_GB2312"/>
          <w:kern w:val="0"/>
          <w:szCs w:val="32"/>
        </w:rPr>
        <w:t>屯大线雨水岭大道至大拉段改建工程</w:t>
      </w:r>
      <w:r>
        <w:rPr>
          <w:rFonts w:hint="eastAsia" w:ascii="仿宋_GB2312"/>
        </w:rPr>
        <w:t>项目</w:t>
      </w:r>
      <w:r>
        <w:rPr>
          <w:rFonts w:hint="eastAsia" w:ascii="仿宋_GB2312"/>
          <w:lang w:eastAsia="zh-Hans"/>
        </w:rPr>
        <w:t>。</w:t>
      </w:r>
      <w:r>
        <w:rPr>
          <w:rFonts w:hint="eastAsia" w:ascii="仿宋_GB2312"/>
        </w:rPr>
        <w:t>2024年项目预算为32,700.00万元。</w:t>
      </w:r>
    </w:p>
    <w:p>
      <w:pPr>
        <w:pStyle w:val="7"/>
        <w:ind w:firstLine="643"/>
        <w:outlineLvl w:val="1"/>
        <w:rPr>
          <w:rFonts w:ascii="楷体_GB2312" w:hAnsi="Times New Roman" w:eastAsia="楷体_GB2312" w:cs="Times New Roman"/>
          <w:b/>
          <w:bCs/>
        </w:rPr>
      </w:pPr>
      <w:bookmarkStart w:id="30" w:name="_Toc7350"/>
      <w:bookmarkStart w:id="31" w:name="_Toc5589"/>
      <w:r>
        <w:rPr>
          <w:rFonts w:hint="eastAsia" w:ascii="楷体_GB2312" w:hAnsi="Times New Roman" w:eastAsia="楷体_GB2312" w:cs="Times New Roman"/>
          <w:b/>
          <w:bCs/>
        </w:rPr>
        <w:t>（二）绩效评价原则、评价指标体系、评价方法、评价标准</w:t>
      </w:r>
      <w:bookmarkEnd w:id="30"/>
      <w:bookmarkEnd w:id="31"/>
    </w:p>
    <w:p>
      <w:pPr>
        <w:ind w:firstLine="643"/>
        <w:outlineLvl w:val="2"/>
        <w:rPr>
          <w:rFonts w:ascii="仿宋_GB2312"/>
          <w:b/>
          <w:bCs/>
        </w:rPr>
      </w:pPr>
      <w:bookmarkStart w:id="32" w:name="_Toc27098"/>
      <w:bookmarkStart w:id="33" w:name="_Toc25355"/>
      <w:bookmarkStart w:id="34" w:name="_Toc15447"/>
      <w:bookmarkStart w:id="35" w:name="_Toc32594"/>
      <w:bookmarkStart w:id="36" w:name="_Toc19633"/>
      <w:r>
        <w:rPr>
          <w:rFonts w:hint="eastAsia" w:ascii="仿宋_GB2312"/>
          <w:b/>
          <w:bCs/>
        </w:rPr>
        <w:t>1.</w:t>
      </w:r>
      <w:bookmarkStart w:id="37" w:name="_Toc54107604"/>
      <w:bookmarkStart w:id="38" w:name="_Toc2331"/>
      <w:r>
        <w:rPr>
          <w:rFonts w:hint="eastAsia" w:ascii="仿宋_GB2312"/>
          <w:b/>
          <w:bCs/>
        </w:rPr>
        <w:t>绩效评价原则</w:t>
      </w:r>
      <w:bookmarkEnd w:id="32"/>
      <w:bookmarkEnd w:id="33"/>
      <w:bookmarkEnd w:id="34"/>
      <w:bookmarkEnd w:id="35"/>
      <w:bookmarkEnd w:id="36"/>
      <w:bookmarkEnd w:id="37"/>
      <w:bookmarkEnd w:id="38"/>
    </w:p>
    <w:p>
      <w:pPr>
        <w:rPr>
          <w:rFonts w:ascii="仿宋_GB2312"/>
        </w:rPr>
      </w:pPr>
      <w:r>
        <w:rPr>
          <w:rFonts w:hint="eastAsia" w:ascii="仿宋_GB2312"/>
          <w:lang w:eastAsia="zh-Hans"/>
        </w:rPr>
        <w:t>本次</w:t>
      </w:r>
      <w:r>
        <w:rPr>
          <w:rFonts w:hint="eastAsia" w:ascii="仿宋_GB2312"/>
        </w:rPr>
        <w:t>绩效评价遵循以下基本原则：</w:t>
      </w:r>
    </w:p>
    <w:p>
      <w:pPr>
        <w:rPr>
          <w:rFonts w:ascii="仿宋_GB2312"/>
        </w:rPr>
      </w:pPr>
      <w:r>
        <w:rPr>
          <w:rFonts w:hint="eastAsia" w:ascii="仿宋_GB2312"/>
          <w:lang w:eastAsia="zh-Hans"/>
        </w:rPr>
        <w:t>（1）</w:t>
      </w:r>
      <w:r>
        <w:rPr>
          <w:rFonts w:hint="eastAsia" w:ascii="仿宋_GB2312"/>
        </w:rPr>
        <w:t>科学公正。绩效评价应当运用科学合理的方法，按照规范的程序，对项目绩效进行客观、公正的反映。</w:t>
      </w:r>
    </w:p>
    <w:p>
      <w:pPr>
        <w:rPr>
          <w:rFonts w:ascii="仿宋_GB2312"/>
        </w:rPr>
      </w:pPr>
      <w:r>
        <w:rPr>
          <w:rFonts w:hint="eastAsia" w:ascii="仿宋_GB2312"/>
        </w:rPr>
        <w:t>（2）公开透明。绩效评价结果依法依规公开，自觉接受社会监督。</w:t>
      </w:r>
    </w:p>
    <w:p>
      <w:pPr>
        <w:rPr>
          <w:rFonts w:ascii="仿宋_GB2312"/>
        </w:rPr>
      </w:pPr>
      <w:r>
        <w:rPr>
          <w:rFonts w:hint="eastAsia" w:ascii="仿宋_GB2312"/>
          <w:lang w:eastAsia="zh-Hans"/>
        </w:rPr>
        <w:t>（3）</w:t>
      </w:r>
      <w:r>
        <w:rPr>
          <w:rFonts w:hint="eastAsia" w:ascii="仿宋_GB2312"/>
        </w:rPr>
        <w:t>激励约束。绩效评价结果与预算安排、政策调整、改进管理实质性挂钩，体现奖优罚劣和激励相容导向，有效要安排、低效要压减、无效要问责。</w:t>
      </w:r>
    </w:p>
    <w:p>
      <w:pPr>
        <w:rPr>
          <w:rFonts w:ascii="仿宋_GB2312"/>
        </w:rPr>
      </w:pPr>
      <w:r>
        <w:rPr>
          <w:rFonts w:hint="eastAsia" w:ascii="仿宋_GB2312"/>
          <w:lang w:eastAsia="zh-Hans"/>
        </w:rPr>
        <w:t>绩效评价指标是指衡量绩效目标实现程度的考核工具。在确定</w:t>
      </w:r>
      <w:r>
        <w:rPr>
          <w:rFonts w:hint="eastAsia" w:ascii="仿宋_GB2312"/>
        </w:rPr>
        <w:t>绩效评价指标</w:t>
      </w:r>
      <w:r>
        <w:rPr>
          <w:rFonts w:hint="eastAsia" w:ascii="仿宋_GB2312"/>
          <w:lang w:eastAsia="zh-Hans"/>
        </w:rPr>
        <w:t>时，</w:t>
      </w:r>
      <w:r>
        <w:rPr>
          <w:rFonts w:hint="eastAsia" w:ascii="仿宋_GB2312"/>
        </w:rPr>
        <w:t>遵循以下原则：</w:t>
      </w:r>
    </w:p>
    <w:p>
      <w:pPr>
        <w:rPr>
          <w:rFonts w:ascii="仿宋_GB2312"/>
        </w:rPr>
      </w:pPr>
      <w:r>
        <w:rPr>
          <w:rFonts w:hint="eastAsia" w:ascii="仿宋_GB2312"/>
        </w:rPr>
        <w:t>（1）相关性原则。绩效评价指标应当与绩效目标有直接的联系，能够恰当反映目标的实现程度。</w:t>
      </w:r>
    </w:p>
    <w:p>
      <w:pPr>
        <w:rPr>
          <w:rFonts w:ascii="仿宋_GB2312"/>
        </w:rPr>
      </w:pPr>
      <w:r>
        <w:rPr>
          <w:rFonts w:hint="eastAsia" w:ascii="仿宋_GB2312"/>
        </w:rPr>
        <w:t>（2）重要性原则。应当优先使用最具评价对象代表性、最能反映评价要求的核心指标。</w:t>
      </w:r>
    </w:p>
    <w:p>
      <w:pPr>
        <w:rPr>
          <w:rFonts w:ascii="仿宋_GB2312"/>
        </w:rPr>
      </w:pPr>
      <w:r>
        <w:rPr>
          <w:rFonts w:hint="eastAsia" w:ascii="仿宋_GB2312"/>
        </w:rPr>
        <w:t>（3）可比性原则。对同类评价对象要设定共性的绩效评价指标，以便于评价结果可以相互比较。</w:t>
      </w:r>
    </w:p>
    <w:p>
      <w:pPr>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pPr>
        <w:rPr>
          <w:rFonts w:ascii="仿宋_GB2312"/>
        </w:rPr>
      </w:pPr>
      <w:r>
        <w:rPr>
          <w:rFonts w:hint="eastAsia" w:ascii="仿宋_GB2312"/>
        </w:rPr>
        <w:t>（5）经济性原则。绩效评价指标设计应当通俗易懂、简便易行，数据的获得应当考虑现实条件和可操作性，符合成本效益原则。</w:t>
      </w:r>
    </w:p>
    <w:p>
      <w:pPr>
        <w:ind w:firstLine="643"/>
        <w:outlineLvl w:val="2"/>
        <w:rPr>
          <w:rFonts w:ascii="仿宋_GB2312"/>
          <w:b/>
          <w:bCs/>
          <w:lang w:eastAsia="zh-Hans"/>
        </w:rPr>
      </w:pPr>
      <w:bookmarkStart w:id="39" w:name="_Toc3086"/>
      <w:bookmarkStart w:id="40" w:name="_Toc17855"/>
      <w:bookmarkStart w:id="41" w:name="_Toc13751"/>
      <w:bookmarkStart w:id="42" w:name="_Toc26389"/>
      <w:bookmarkStart w:id="43" w:name="_Toc23489"/>
      <w:r>
        <w:rPr>
          <w:rFonts w:hint="eastAsia" w:ascii="仿宋_GB2312"/>
          <w:b/>
          <w:bCs/>
          <w:lang w:eastAsia="zh-Hans"/>
        </w:rPr>
        <w:t>2.绩效评价方法</w:t>
      </w:r>
      <w:bookmarkEnd w:id="39"/>
      <w:bookmarkEnd w:id="40"/>
      <w:bookmarkEnd w:id="41"/>
      <w:bookmarkEnd w:id="42"/>
      <w:bookmarkEnd w:id="43"/>
    </w:p>
    <w:p>
      <w:pPr>
        <w:rPr>
          <w:rFonts w:ascii="仿宋_GB2312"/>
        </w:rPr>
      </w:pPr>
      <w:r>
        <w:rPr>
          <w:rFonts w:hint="eastAsia" w:ascii="仿宋_GB2312"/>
        </w:rPr>
        <w:t>本次评价将综合运用比较分析法、因素分析法、成本收益分析法、逻辑分析法等多种方法从多个角度进行分析。</w:t>
      </w:r>
    </w:p>
    <w:p>
      <w:pPr>
        <w:rPr>
          <w:rFonts w:ascii="仿宋_GB2312"/>
        </w:rPr>
      </w:pPr>
      <w:r>
        <w:rPr>
          <w:rFonts w:hint="eastAsia" w:ascii="仿宋_GB2312"/>
        </w:rPr>
        <w:t>（一）成本效益分析法。是指将投入与产出、效益进行关联性分析的方法。</w:t>
      </w:r>
    </w:p>
    <w:p>
      <w:pPr>
        <w:rPr>
          <w:rFonts w:ascii="仿宋_GB2312"/>
        </w:rPr>
      </w:pPr>
      <w:r>
        <w:rPr>
          <w:rFonts w:hint="eastAsia" w:ascii="仿宋_GB2312"/>
        </w:rPr>
        <w:t>（二）比较法。是指将实施情况与绩效目标、历史情况、不同部门和地区同类支出情况进行比较的方法。</w:t>
      </w:r>
    </w:p>
    <w:p>
      <w:pPr>
        <w:rPr>
          <w:rFonts w:ascii="仿宋_GB2312"/>
        </w:rPr>
      </w:pPr>
      <w:r>
        <w:rPr>
          <w:rFonts w:hint="eastAsia" w:ascii="仿宋_GB2312"/>
        </w:rPr>
        <w:t>（三）因素分析法。是指综合分析影响绩效目标实现、实施效果的内外部因素的方法。</w:t>
      </w:r>
    </w:p>
    <w:p>
      <w:pPr>
        <w:rPr>
          <w:rFonts w:ascii="仿宋_GB2312"/>
        </w:rPr>
      </w:pPr>
      <w:r>
        <w:rPr>
          <w:rFonts w:hint="eastAsia" w:ascii="仿宋_GB2312"/>
        </w:rPr>
        <w:t>（四）最低成本法。是指在绩效目标确定的前提下，成本最小者为优的方法。</w:t>
      </w:r>
    </w:p>
    <w:p>
      <w:pPr>
        <w:rPr>
          <w:rFonts w:ascii="仿宋_GB2312"/>
        </w:rPr>
      </w:pPr>
      <w:r>
        <w:rPr>
          <w:rFonts w:hint="eastAsia" w:ascii="仿宋_GB2312"/>
        </w:rPr>
        <w:t>（五）公众评判法。是指通过专家评估、公众问卷及抽样调查等方式进行评判的方法。</w:t>
      </w:r>
    </w:p>
    <w:p>
      <w:pPr>
        <w:rPr>
          <w:rFonts w:ascii="仿宋_GB2312"/>
        </w:rPr>
      </w:pPr>
      <w:r>
        <w:rPr>
          <w:rFonts w:hint="eastAsia" w:ascii="仿宋_GB2312"/>
        </w:rPr>
        <w:t>（六）标杆管理法。是指以国内外同行业中较高的绩效水平为标杆进行评判的方法。</w:t>
      </w:r>
    </w:p>
    <w:p>
      <w:pPr>
        <w:rPr>
          <w:rFonts w:ascii="仿宋_GB2312"/>
        </w:rPr>
      </w:pPr>
      <w:r>
        <w:rPr>
          <w:rFonts w:hint="eastAsia" w:ascii="仿宋_GB2312"/>
        </w:rPr>
        <w:t>（七）其他评价方法。</w:t>
      </w:r>
    </w:p>
    <w:p>
      <w:pPr>
        <w:ind w:firstLine="643"/>
        <w:outlineLvl w:val="2"/>
        <w:rPr>
          <w:rFonts w:ascii="仿宋_GB2312"/>
          <w:b/>
          <w:bCs/>
          <w:lang w:eastAsia="zh-Hans"/>
        </w:rPr>
      </w:pPr>
      <w:bookmarkStart w:id="44" w:name="_Toc4537"/>
      <w:bookmarkStart w:id="45" w:name="_Toc32433"/>
      <w:bookmarkStart w:id="46" w:name="_Toc14299"/>
      <w:bookmarkStart w:id="47" w:name="_Toc18616"/>
      <w:bookmarkStart w:id="48" w:name="_Toc24945"/>
      <w:r>
        <w:rPr>
          <w:rFonts w:hint="eastAsia" w:ascii="仿宋_GB2312"/>
          <w:b/>
          <w:bCs/>
        </w:rPr>
        <w:t>3.</w:t>
      </w:r>
      <w:r>
        <w:rPr>
          <w:rFonts w:hint="eastAsia" w:ascii="仿宋_GB2312"/>
          <w:b/>
          <w:bCs/>
          <w:lang w:eastAsia="zh-Hans"/>
        </w:rPr>
        <w:t>绩效评价标准</w:t>
      </w:r>
      <w:bookmarkEnd w:id="44"/>
      <w:bookmarkEnd w:id="45"/>
      <w:bookmarkEnd w:id="46"/>
      <w:bookmarkEnd w:id="47"/>
      <w:bookmarkEnd w:id="48"/>
    </w:p>
    <w:p>
      <w:pPr>
        <w:rPr>
          <w:rFonts w:ascii="仿宋_GB2312"/>
        </w:rPr>
      </w:pPr>
      <w:r>
        <w:rPr>
          <w:rFonts w:hint="eastAsia" w:ascii="仿宋_GB2312"/>
        </w:rPr>
        <w:t>绩效评价标准包括计划标准、行业标准、历史标准等，用于对绩效指标完成情况进行比较。</w:t>
      </w:r>
    </w:p>
    <w:p>
      <w:pPr>
        <w:rPr>
          <w:rFonts w:ascii="仿宋_GB2312"/>
        </w:rPr>
      </w:pPr>
      <w:r>
        <w:rPr>
          <w:rFonts w:hint="eastAsia" w:ascii="仿宋_GB2312"/>
        </w:rPr>
        <w:t>（1）计划标准。指以预先制定的目标、计划、预算、定额等作为评价标准。</w:t>
      </w:r>
    </w:p>
    <w:p>
      <w:pPr>
        <w:rPr>
          <w:rFonts w:ascii="仿宋_GB2312"/>
        </w:rPr>
      </w:pPr>
      <w:r>
        <w:rPr>
          <w:rFonts w:hint="eastAsia" w:ascii="仿宋_GB2312"/>
        </w:rPr>
        <w:t>（2）行业标准。指参照国家公布的行业指标数据制定的评价标准。</w:t>
      </w:r>
    </w:p>
    <w:p>
      <w:pPr>
        <w:rPr>
          <w:rFonts w:ascii="仿宋_GB2312"/>
        </w:rPr>
      </w:pPr>
      <w:r>
        <w:rPr>
          <w:rFonts w:hint="eastAsia" w:ascii="仿宋_GB2312"/>
        </w:rPr>
        <w:t>（3）历史标准。指参照历史数据制定的评价标准，为体现绩效改进的原则，在可实现的条件下应当确定相对较高的评价标准。</w:t>
      </w:r>
    </w:p>
    <w:p>
      <w:pPr>
        <w:rPr>
          <w:rFonts w:ascii="仿宋_GB2312"/>
        </w:rPr>
      </w:pPr>
      <w:r>
        <w:rPr>
          <w:rFonts w:hint="eastAsia" w:ascii="仿宋_GB2312"/>
        </w:rPr>
        <w:t>（4）财政部门和预算部门确认或认可的其他标准。</w:t>
      </w:r>
    </w:p>
    <w:p>
      <w:pPr>
        <w:ind w:firstLine="643"/>
        <w:outlineLvl w:val="2"/>
        <w:rPr>
          <w:rFonts w:ascii="仿宋_GB2312"/>
          <w:b/>
          <w:bCs/>
          <w:lang w:eastAsia="zh-Hans"/>
        </w:rPr>
      </w:pPr>
      <w:bookmarkStart w:id="49" w:name="_Toc16110"/>
      <w:bookmarkStart w:id="50" w:name="_Toc28363"/>
      <w:bookmarkStart w:id="51" w:name="_Toc26128"/>
      <w:bookmarkStart w:id="52" w:name="_Toc29334"/>
      <w:bookmarkStart w:id="53" w:name="_Toc24138"/>
      <w:r>
        <w:rPr>
          <w:rFonts w:hint="eastAsia" w:ascii="仿宋_GB2312"/>
          <w:b/>
          <w:bCs/>
        </w:rPr>
        <w:t>4</w:t>
      </w:r>
      <w:r>
        <w:rPr>
          <w:rFonts w:hint="eastAsia" w:ascii="仿宋_GB2312"/>
          <w:b/>
          <w:bCs/>
          <w:lang w:eastAsia="zh-Hans"/>
        </w:rPr>
        <w:t>.评价指标体系</w:t>
      </w:r>
      <w:bookmarkEnd w:id="49"/>
      <w:bookmarkEnd w:id="50"/>
      <w:bookmarkEnd w:id="51"/>
      <w:bookmarkEnd w:id="52"/>
      <w:bookmarkEnd w:id="53"/>
    </w:p>
    <w:p>
      <w:pPr>
        <w:rPr>
          <w:rFonts w:ascii="仿宋_GB2312"/>
        </w:rPr>
      </w:pPr>
      <w:r>
        <w:rPr>
          <w:rFonts w:hint="eastAsia" w:ascii="仿宋_GB2312"/>
        </w:rPr>
        <w:t>根据绩效评价的基本原理、原则和项目特点，结合绩效目标，由评价组按照逻辑分析法</w:t>
      </w:r>
      <w:r>
        <w:rPr>
          <w:rFonts w:hint="eastAsia" w:ascii="仿宋_GB2312"/>
          <w:lang w:eastAsia="zh-Hans"/>
        </w:rPr>
        <w:t>设计绩效评价指标体系，从</w:t>
      </w:r>
      <w:r>
        <w:rPr>
          <w:rFonts w:hint="eastAsia" w:ascii="仿宋_GB2312"/>
        </w:rPr>
        <w:t>项目决策、项目管理、项目</w:t>
      </w:r>
      <w:r>
        <w:rPr>
          <w:rFonts w:hint="eastAsia" w:ascii="仿宋_GB2312"/>
          <w:lang w:eastAsia="zh-Hans"/>
        </w:rPr>
        <w:t>产出、项目效果等四</w:t>
      </w:r>
      <w:r>
        <w:rPr>
          <w:rFonts w:hint="eastAsia" w:ascii="仿宋_GB2312"/>
        </w:rPr>
        <w:t>部分内容，围绕项目立项、目标设定、资金预算、资金使用、资源配置、项目管理、项目产出、项目效益的绩效逻辑路径</w:t>
      </w:r>
      <w:r>
        <w:rPr>
          <w:rFonts w:hint="eastAsia" w:ascii="仿宋_GB2312"/>
          <w:lang w:eastAsia="zh-Hans"/>
        </w:rPr>
        <w:t>展开评价</w:t>
      </w:r>
      <w:r>
        <w:rPr>
          <w:rFonts w:hint="eastAsia" w:ascii="仿宋_GB2312"/>
        </w:rPr>
        <w:t>，保证评价的科学性、严谨性和可行性。</w:t>
      </w:r>
    </w:p>
    <w:p>
      <w:pPr>
        <w:rPr>
          <w:rFonts w:ascii="仿宋_GB2312"/>
          <w:lang w:eastAsia="zh-Hans"/>
        </w:rPr>
        <w:sectPr>
          <w:headerReference r:id="rId13" w:type="default"/>
          <w:footerReference r:id="rId14" w:type="default"/>
          <w:pgSz w:w="11906" w:h="16838"/>
          <w:pgMar w:top="1440" w:right="1797" w:bottom="1440" w:left="1797" w:header="851" w:footer="992" w:gutter="0"/>
          <w:pgNumType w:start="1"/>
          <w:cols w:space="0" w:num="1"/>
          <w:docGrid w:type="lines" w:linePitch="435" w:charSpace="0"/>
        </w:sectPr>
      </w:pPr>
      <w:r>
        <w:rPr>
          <w:rFonts w:hint="eastAsia" w:ascii="仿宋_GB2312"/>
          <w:lang w:eastAsia="zh-Hans"/>
        </w:rPr>
        <w:t>评价指标体系如下：</w:t>
      </w:r>
    </w:p>
    <w:p>
      <w:pPr>
        <w:pStyle w:val="16"/>
        <w:ind w:left="0" w:leftChars="0" w:firstLine="0" w:firstLineChars="0"/>
        <w:jc w:val="center"/>
        <w:rPr>
          <w:rFonts w:ascii="仿宋_GB2312"/>
          <w:lang w:eastAsia="zh-Hans"/>
        </w:rPr>
      </w:pPr>
      <w:r>
        <w:rPr>
          <w:rFonts w:hint="eastAsia" w:ascii="仿宋_GB2312"/>
          <w:b/>
          <w:bCs/>
          <w:lang w:eastAsia="zh-Hans"/>
        </w:rPr>
        <w:t>绩效评价指标体系表</w:t>
      </w:r>
    </w:p>
    <w:tbl>
      <w:tblPr>
        <w:tblStyle w:val="17"/>
        <w:tblW w:w="14187" w:type="dxa"/>
        <w:tblInd w:w="96" w:type="dxa"/>
        <w:tblLayout w:type="fixed"/>
        <w:tblCellMar>
          <w:top w:w="0" w:type="dxa"/>
          <w:left w:w="108" w:type="dxa"/>
          <w:bottom w:w="0" w:type="dxa"/>
          <w:right w:w="108" w:type="dxa"/>
        </w:tblCellMar>
      </w:tblPr>
      <w:tblGrid>
        <w:gridCol w:w="868"/>
        <w:gridCol w:w="1271"/>
        <w:gridCol w:w="1536"/>
        <w:gridCol w:w="1136"/>
        <w:gridCol w:w="9"/>
        <w:gridCol w:w="698"/>
        <w:gridCol w:w="9"/>
        <w:gridCol w:w="2707"/>
        <w:gridCol w:w="2972"/>
        <w:gridCol w:w="9"/>
        <w:gridCol w:w="2972"/>
      </w:tblGrid>
      <w:tr>
        <w:tblPrEx>
          <w:tblCellMar>
            <w:top w:w="0" w:type="dxa"/>
            <w:left w:w="108" w:type="dxa"/>
            <w:bottom w:w="0" w:type="dxa"/>
            <w:right w:w="108" w:type="dxa"/>
          </w:tblCellMar>
        </w:tblPrEx>
        <w:trPr>
          <w:trHeight w:val="23" w:hRule="atLeast"/>
          <w:tblHeader/>
        </w:trPr>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b/>
                <w:bCs/>
                <w:sz w:val="24"/>
              </w:rPr>
            </w:pPr>
            <w:r>
              <w:rPr>
                <w:rFonts w:hint="eastAsia" w:ascii="仿宋_GB2312"/>
                <w:b/>
                <w:bCs/>
                <w:kern w:val="0"/>
                <w:sz w:val="24"/>
                <w:lang w:bidi="ar"/>
              </w:rPr>
              <w:t>一级指标</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b/>
                <w:bCs/>
                <w:sz w:val="24"/>
              </w:rPr>
            </w:pPr>
            <w:r>
              <w:rPr>
                <w:rFonts w:hint="eastAsia" w:ascii="仿宋_GB2312"/>
                <w:b/>
                <w:bCs/>
                <w:kern w:val="0"/>
                <w:sz w:val="24"/>
                <w:lang w:bidi="ar"/>
              </w:rPr>
              <w:t>二级指标</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b/>
                <w:bCs/>
                <w:sz w:val="24"/>
              </w:rPr>
            </w:pPr>
            <w:r>
              <w:rPr>
                <w:rFonts w:hint="eastAsia" w:ascii="仿宋_GB2312"/>
                <w:b/>
                <w:bCs/>
                <w:kern w:val="0"/>
                <w:sz w:val="24"/>
                <w:lang w:bidi="ar"/>
              </w:rPr>
              <w:t>三级指标</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b/>
                <w:bCs/>
                <w:sz w:val="24"/>
              </w:rPr>
            </w:pPr>
            <w:r>
              <w:rPr>
                <w:rFonts w:hint="eastAsia" w:ascii="仿宋_GB2312"/>
                <w:b/>
                <w:bCs/>
                <w:kern w:val="0"/>
                <w:sz w:val="24"/>
                <w:lang w:bidi="ar"/>
              </w:rPr>
              <w:t>目标值</w:t>
            </w:r>
          </w:p>
        </w:tc>
        <w:tc>
          <w:tcPr>
            <w:tcW w:w="7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b/>
                <w:bCs/>
                <w:sz w:val="24"/>
              </w:rPr>
            </w:pPr>
            <w:r>
              <w:rPr>
                <w:rFonts w:hint="eastAsia" w:ascii="仿宋_GB2312"/>
                <w:b/>
                <w:bCs/>
                <w:kern w:val="0"/>
                <w:sz w:val="24"/>
                <w:lang w:bidi="ar"/>
              </w:rPr>
              <w:t>权重</w:t>
            </w:r>
          </w:p>
        </w:tc>
        <w:tc>
          <w:tcPr>
            <w:tcW w:w="27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b/>
                <w:bCs/>
                <w:sz w:val="24"/>
              </w:rPr>
            </w:pPr>
            <w:r>
              <w:rPr>
                <w:rFonts w:hint="eastAsia" w:ascii="仿宋_GB2312"/>
                <w:b/>
                <w:bCs/>
                <w:kern w:val="0"/>
                <w:sz w:val="24"/>
                <w:lang w:bidi="ar"/>
              </w:rPr>
              <w:t>指标解释</w:t>
            </w:r>
          </w:p>
        </w:tc>
        <w:tc>
          <w:tcPr>
            <w:tcW w:w="2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b/>
                <w:bCs/>
                <w:sz w:val="24"/>
              </w:rPr>
            </w:pPr>
            <w:r>
              <w:rPr>
                <w:rFonts w:hint="eastAsia" w:ascii="仿宋_GB2312"/>
                <w:b/>
                <w:bCs/>
                <w:kern w:val="0"/>
                <w:sz w:val="24"/>
                <w:lang w:bidi="ar"/>
              </w:rPr>
              <w:t>评价要点</w:t>
            </w:r>
          </w:p>
        </w:tc>
        <w:tc>
          <w:tcPr>
            <w:tcW w:w="2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b/>
                <w:bCs/>
                <w:sz w:val="24"/>
              </w:rPr>
            </w:pPr>
            <w:r>
              <w:rPr>
                <w:rFonts w:hint="eastAsia" w:ascii="仿宋_GB2312"/>
                <w:b/>
                <w:bCs/>
                <w:kern w:val="0"/>
                <w:sz w:val="24"/>
                <w:lang w:bidi="ar"/>
              </w:rPr>
              <w:t>评分规则</w:t>
            </w:r>
          </w:p>
        </w:tc>
      </w:tr>
      <w:tr>
        <w:tblPrEx>
          <w:tblCellMar>
            <w:top w:w="0" w:type="dxa"/>
            <w:left w:w="108" w:type="dxa"/>
            <w:bottom w:w="0" w:type="dxa"/>
            <w:right w:w="108" w:type="dxa"/>
          </w:tblCellMar>
        </w:tblPrEx>
        <w:trPr>
          <w:trHeight w:val="23" w:hRule="atLeast"/>
        </w:trPr>
        <w:tc>
          <w:tcPr>
            <w:tcW w:w="8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决策（16分）</w:t>
            </w:r>
          </w:p>
        </w:tc>
        <w:tc>
          <w:tcPr>
            <w:tcW w:w="12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项目立项（4分）</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立项依据充分性</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充分</w:t>
            </w:r>
          </w:p>
        </w:tc>
        <w:tc>
          <w:tcPr>
            <w:tcW w:w="7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2</w:t>
            </w:r>
          </w:p>
        </w:tc>
        <w:tc>
          <w:tcPr>
            <w:tcW w:w="27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项目立项是否符合法律法规、相关政策、发展规划以及部门职责，用以反映和考核项目立项依据情况。</w:t>
            </w:r>
          </w:p>
        </w:tc>
        <w:tc>
          <w:tcPr>
            <w:tcW w:w="2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评价要点：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重复。</w:t>
            </w:r>
          </w:p>
        </w:tc>
        <w:tc>
          <w:tcPr>
            <w:tcW w:w="2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满足一项得20%权重分</w:t>
            </w:r>
          </w:p>
        </w:tc>
      </w:tr>
      <w:tr>
        <w:tblPrEx>
          <w:tblCellMar>
            <w:top w:w="0" w:type="dxa"/>
            <w:left w:w="108" w:type="dxa"/>
            <w:bottom w:w="0" w:type="dxa"/>
            <w:right w:w="108" w:type="dxa"/>
          </w:tblCellMar>
        </w:tblPrEx>
        <w:trPr>
          <w:trHeight w:val="23"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ascii="仿宋_GB2312"/>
                <w:sz w:val="24"/>
              </w:rPr>
            </w:pPr>
          </w:p>
        </w:tc>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ascii="仿宋_GB2312"/>
                <w:sz w:val="24"/>
              </w:rPr>
            </w:pP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立项程序规范性</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规范</w:t>
            </w:r>
          </w:p>
        </w:tc>
        <w:tc>
          <w:tcPr>
            <w:tcW w:w="7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2</w:t>
            </w:r>
          </w:p>
        </w:tc>
        <w:tc>
          <w:tcPr>
            <w:tcW w:w="27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项目申请、设立过程是否符合相关要求，用以反映和考核项目立项的规范情况。</w:t>
            </w:r>
          </w:p>
        </w:tc>
        <w:tc>
          <w:tcPr>
            <w:tcW w:w="2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评价要点：①项目是否按照规定的程序申请设立；②审批文件、材料是否符合相关要求；③事前是否已经过必要的可行性研究、专家论证、风险评估、绩效评估、集体决策。</w:t>
            </w:r>
          </w:p>
        </w:tc>
        <w:tc>
          <w:tcPr>
            <w:tcW w:w="2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满足一项得1/3权重分</w:t>
            </w:r>
          </w:p>
        </w:tc>
      </w:tr>
      <w:tr>
        <w:tblPrEx>
          <w:tblCellMar>
            <w:top w:w="0" w:type="dxa"/>
            <w:left w:w="108" w:type="dxa"/>
            <w:bottom w:w="0" w:type="dxa"/>
            <w:right w:w="108" w:type="dxa"/>
          </w:tblCellMar>
        </w:tblPrEx>
        <w:trPr>
          <w:trHeight w:val="23"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ascii="仿宋_GB2312"/>
                <w:sz w:val="24"/>
              </w:rPr>
            </w:pPr>
          </w:p>
        </w:tc>
        <w:tc>
          <w:tcPr>
            <w:tcW w:w="12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绩效目标（4分）</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绩效目标合理性</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合理</w:t>
            </w:r>
          </w:p>
        </w:tc>
        <w:tc>
          <w:tcPr>
            <w:tcW w:w="7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2</w:t>
            </w:r>
          </w:p>
        </w:tc>
        <w:tc>
          <w:tcPr>
            <w:tcW w:w="27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项目所设定的绩效目标是否依据充分，是否符合客观实际，用以反映和考核项目绩效目标与项目实施的相符情况。</w:t>
            </w:r>
          </w:p>
        </w:tc>
        <w:tc>
          <w:tcPr>
            <w:tcW w:w="2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评价要点：（如未设定预算绩效目标，也可考核其他工作任务目标）①项目是否有绩效目标；②项目绩效目标与实际工作内容是否具有相关性；③项目预期产出效益和效果是否符合正常的业绩水平；④是否与预算确定的项目投资额或资金量相匹配。</w:t>
            </w:r>
          </w:p>
        </w:tc>
        <w:tc>
          <w:tcPr>
            <w:tcW w:w="2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满足一项得25%权重分</w:t>
            </w:r>
          </w:p>
        </w:tc>
      </w:tr>
      <w:tr>
        <w:tblPrEx>
          <w:tblCellMar>
            <w:top w:w="0" w:type="dxa"/>
            <w:left w:w="108" w:type="dxa"/>
            <w:bottom w:w="0" w:type="dxa"/>
            <w:right w:w="108" w:type="dxa"/>
          </w:tblCellMar>
        </w:tblPrEx>
        <w:trPr>
          <w:trHeight w:val="23"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ascii="仿宋_GB2312"/>
                <w:sz w:val="24"/>
              </w:rPr>
            </w:pPr>
          </w:p>
        </w:tc>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ascii="仿宋_GB2312"/>
                <w:sz w:val="24"/>
              </w:rPr>
            </w:pP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绩效指标明确性</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明确</w:t>
            </w:r>
          </w:p>
        </w:tc>
        <w:tc>
          <w:tcPr>
            <w:tcW w:w="7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2</w:t>
            </w:r>
          </w:p>
        </w:tc>
        <w:tc>
          <w:tcPr>
            <w:tcW w:w="27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依据绩效目标设定的绩效指标是否清晰、细化、可衡量等，用以反映和考核项目绩效目标的明细化情况。</w:t>
            </w:r>
          </w:p>
        </w:tc>
        <w:tc>
          <w:tcPr>
            <w:tcW w:w="2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评价要点：①是否将项目绩效目标细化分解为具体的绩效指标；②是否通过清晰、可衡量的指标值予以体现；③是否与项目目标任务数或计划数相对应。</w:t>
            </w:r>
          </w:p>
        </w:tc>
        <w:tc>
          <w:tcPr>
            <w:tcW w:w="2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满足一项得1/3权重分</w:t>
            </w:r>
          </w:p>
        </w:tc>
      </w:tr>
      <w:tr>
        <w:tblPrEx>
          <w:tblCellMar>
            <w:top w:w="0" w:type="dxa"/>
            <w:left w:w="108" w:type="dxa"/>
            <w:bottom w:w="0" w:type="dxa"/>
            <w:right w:w="108" w:type="dxa"/>
          </w:tblCellMar>
        </w:tblPrEx>
        <w:trPr>
          <w:trHeight w:val="23"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ascii="仿宋_GB2312"/>
                <w:sz w:val="24"/>
              </w:rPr>
            </w:pPr>
          </w:p>
        </w:tc>
        <w:tc>
          <w:tcPr>
            <w:tcW w:w="12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资金投入（8分）</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预算编制科学性</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科学</w:t>
            </w:r>
          </w:p>
        </w:tc>
        <w:tc>
          <w:tcPr>
            <w:tcW w:w="7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4</w:t>
            </w:r>
          </w:p>
        </w:tc>
        <w:tc>
          <w:tcPr>
            <w:tcW w:w="27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项目预算编制是否经过科学论证、有明确标准，资金额度与年度目标是否相适应，用以反映和考核项目预算编制的科学性、合理性情况。</w:t>
            </w:r>
          </w:p>
        </w:tc>
        <w:tc>
          <w:tcPr>
            <w:tcW w:w="2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评价要点：①预算编制是否经过科学论证；②预算内容与项目内容是否匹配；③预算额度测算依据是否充分，是否按照标准编制；④预算确定的项目投资额或资金量是否与工作任务相匹配。</w:t>
            </w:r>
          </w:p>
        </w:tc>
        <w:tc>
          <w:tcPr>
            <w:tcW w:w="2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满足一项得25%权重分。</w:t>
            </w:r>
          </w:p>
        </w:tc>
      </w:tr>
      <w:tr>
        <w:tblPrEx>
          <w:tblCellMar>
            <w:top w:w="0" w:type="dxa"/>
            <w:left w:w="108" w:type="dxa"/>
            <w:bottom w:w="0" w:type="dxa"/>
            <w:right w:w="108" w:type="dxa"/>
          </w:tblCellMar>
        </w:tblPrEx>
        <w:trPr>
          <w:trHeight w:val="23"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ascii="仿宋_GB2312"/>
                <w:sz w:val="24"/>
              </w:rPr>
            </w:pPr>
          </w:p>
        </w:tc>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ascii="仿宋_GB2312"/>
                <w:sz w:val="24"/>
              </w:rPr>
            </w:pP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资金分配合理性</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合理</w:t>
            </w:r>
          </w:p>
        </w:tc>
        <w:tc>
          <w:tcPr>
            <w:tcW w:w="7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4</w:t>
            </w:r>
          </w:p>
        </w:tc>
        <w:tc>
          <w:tcPr>
            <w:tcW w:w="27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项目预算资金分配是否有测算依据，与补助单位或地方实际是否相适应，用以反映和考核项目预算资金分配的科学性、合理性情况。</w:t>
            </w:r>
          </w:p>
        </w:tc>
        <w:tc>
          <w:tcPr>
            <w:tcW w:w="2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评价要点：①预算资金分配依据是否充分；②资金分配额度是否合理，与项目单位或地方实际是否相适应。</w:t>
            </w:r>
          </w:p>
        </w:tc>
        <w:tc>
          <w:tcPr>
            <w:tcW w:w="2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满足一项得50%权重分。</w:t>
            </w:r>
          </w:p>
        </w:tc>
      </w:tr>
      <w:tr>
        <w:tblPrEx>
          <w:tblCellMar>
            <w:top w:w="0" w:type="dxa"/>
            <w:left w:w="108" w:type="dxa"/>
            <w:bottom w:w="0" w:type="dxa"/>
            <w:right w:w="108" w:type="dxa"/>
          </w:tblCellMar>
        </w:tblPrEx>
        <w:trPr>
          <w:trHeight w:val="23" w:hRule="atLeast"/>
        </w:trPr>
        <w:tc>
          <w:tcPr>
            <w:tcW w:w="8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过程（24分）</w:t>
            </w:r>
          </w:p>
        </w:tc>
        <w:tc>
          <w:tcPr>
            <w:tcW w:w="12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资金管理（14分）</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资金到位率</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100%</w:t>
            </w:r>
          </w:p>
        </w:tc>
        <w:tc>
          <w:tcPr>
            <w:tcW w:w="7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5</w:t>
            </w:r>
          </w:p>
        </w:tc>
        <w:tc>
          <w:tcPr>
            <w:tcW w:w="27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实际到位资金与预算资金的比率，用以反映和考核资金落实情况对项目实施的总体保障程度。</w:t>
            </w:r>
          </w:p>
        </w:tc>
        <w:tc>
          <w:tcPr>
            <w:tcW w:w="2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资金到位率=（实际到位资金/预算资金）×100%。</w:t>
            </w:r>
          </w:p>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实际到位资金：一定时期（本年度或项目期）内落实到具体项目的资金。</w:t>
            </w:r>
          </w:p>
          <w:p>
            <w:pPr>
              <w:widowControl/>
              <w:spacing w:line="400" w:lineRule="exact"/>
              <w:ind w:firstLine="0" w:firstLineChars="0"/>
              <w:jc w:val="center"/>
              <w:textAlignment w:val="center"/>
              <w:rPr>
                <w:rFonts w:ascii="仿宋_GB2312"/>
                <w:sz w:val="24"/>
              </w:rPr>
            </w:pPr>
            <w:r>
              <w:rPr>
                <w:rFonts w:hint="eastAsia" w:ascii="仿宋_GB2312"/>
                <w:kern w:val="0"/>
                <w:sz w:val="24"/>
                <w:lang w:bidi="ar"/>
              </w:rPr>
              <w:t>预算资金：一定时期（本年度或项目期）内预算安排到具体项目的资金。</w:t>
            </w:r>
          </w:p>
        </w:tc>
        <w:tc>
          <w:tcPr>
            <w:tcW w:w="2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100%得满分权重分，每下降1%扣1%权重分，直至零分。</w:t>
            </w:r>
          </w:p>
        </w:tc>
      </w:tr>
      <w:tr>
        <w:tblPrEx>
          <w:tblCellMar>
            <w:top w:w="0" w:type="dxa"/>
            <w:left w:w="108" w:type="dxa"/>
            <w:bottom w:w="0" w:type="dxa"/>
            <w:right w:w="108" w:type="dxa"/>
          </w:tblCellMar>
        </w:tblPrEx>
        <w:trPr>
          <w:trHeight w:val="23"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ascii="仿宋_GB2312"/>
                <w:sz w:val="24"/>
              </w:rPr>
            </w:pPr>
          </w:p>
        </w:tc>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ascii="仿宋_GB2312"/>
                <w:sz w:val="24"/>
              </w:rPr>
            </w:pP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预算执行率</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100%</w:t>
            </w:r>
          </w:p>
        </w:tc>
        <w:tc>
          <w:tcPr>
            <w:tcW w:w="7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5</w:t>
            </w:r>
          </w:p>
        </w:tc>
        <w:tc>
          <w:tcPr>
            <w:tcW w:w="27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项目预算资金是否按照计划执行，用以反映或考核项目预算执行情况。</w:t>
            </w:r>
          </w:p>
        </w:tc>
        <w:tc>
          <w:tcPr>
            <w:tcW w:w="2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预算执行率=（实际支出资金/实际到位资金）×100%。</w:t>
            </w:r>
          </w:p>
          <w:p>
            <w:pPr>
              <w:widowControl/>
              <w:spacing w:line="400" w:lineRule="exact"/>
              <w:ind w:firstLine="0" w:firstLineChars="0"/>
              <w:jc w:val="center"/>
              <w:textAlignment w:val="center"/>
              <w:rPr>
                <w:rFonts w:ascii="仿宋_GB2312"/>
                <w:sz w:val="24"/>
              </w:rPr>
            </w:pPr>
            <w:r>
              <w:rPr>
                <w:rFonts w:hint="eastAsia" w:ascii="仿宋_GB2312"/>
                <w:kern w:val="0"/>
                <w:sz w:val="24"/>
                <w:lang w:bidi="ar"/>
              </w:rPr>
              <w:t>实际支出资金：一定时期（本年度或项目期）内项目实际拨付的资金。</w:t>
            </w:r>
          </w:p>
        </w:tc>
        <w:tc>
          <w:tcPr>
            <w:tcW w:w="2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100%得满分权重分，每下降1%扣1%权重分，直至零分。</w:t>
            </w:r>
          </w:p>
        </w:tc>
      </w:tr>
      <w:tr>
        <w:tblPrEx>
          <w:tblCellMar>
            <w:top w:w="0" w:type="dxa"/>
            <w:left w:w="108" w:type="dxa"/>
            <w:bottom w:w="0" w:type="dxa"/>
            <w:right w:w="108" w:type="dxa"/>
          </w:tblCellMar>
        </w:tblPrEx>
        <w:trPr>
          <w:trHeight w:val="23"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ascii="仿宋_GB2312"/>
                <w:sz w:val="24"/>
              </w:rPr>
            </w:pPr>
          </w:p>
        </w:tc>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ascii="仿宋_GB2312"/>
                <w:sz w:val="24"/>
              </w:rPr>
            </w:pP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资金使用合规性</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合规</w:t>
            </w:r>
          </w:p>
        </w:tc>
        <w:tc>
          <w:tcPr>
            <w:tcW w:w="7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4</w:t>
            </w:r>
          </w:p>
        </w:tc>
        <w:tc>
          <w:tcPr>
            <w:tcW w:w="27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项目资金使用是否符合相关的财务管理制度规定，用以反映和考核项目资金的规范运行情况。</w:t>
            </w:r>
          </w:p>
        </w:tc>
        <w:tc>
          <w:tcPr>
            <w:tcW w:w="2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评价要点：①是否符合国家财经法规和财务管理制度以及有关专项资金管理办法的规定；②资金的拨付是否有完整的审批程序和手续；③是否符合项目预算批复或合同规定的用途；④是否存在截留、挤占、挪用、虚列支出等情况。</w:t>
            </w:r>
          </w:p>
        </w:tc>
        <w:tc>
          <w:tcPr>
            <w:tcW w:w="2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条件④不满足，本指标不得分；条件④满足，其余三项每满足1项得1/3权重分。</w:t>
            </w:r>
          </w:p>
        </w:tc>
      </w:tr>
      <w:tr>
        <w:tblPrEx>
          <w:tblCellMar>
            <w:top w:w="0" w:type="dxa"/>
            <w:left w:w="108" w:type="dxa"/>
            <w:bottom w:w="0" w:type="dxa"/>
            <w:right w:w="108" w:type="dxa"/>
          </w:tblCellMar>
        </w:tblPrEx>
        <w:trPr>
          <w:trHeight w:val="23"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ascii="仿宋_GB2312"/>
                <w:sz w:val="24"/>
              </w:rPr>
            </w:pPr>
          </w:p>
        </w:tc>
        <w:tc>
          <w:tcPr>
            <w:tcW w:w="12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组织实施（10分）</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管理制度健全性</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健全</w:t>
            </w:r>
          </w:p>
        </w:tc>
        <w:tc>
          <w:tcPr>
            <w:tcW w:w="7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5</w:t>
            </w:r>
          </w:p>
        </w:tc>
        <w:tc>
          <w:tcPr>
            <w:tcW w:w="27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项目实施单位的财务和业务管理制度是否健全，用以反映和考核财务和业务管理制度对项目顺利实施的保障情况。</w:t>
            </w:r>
          </w:p>
        </w:tc>
        <w:tc>
          <w:tcPr>
            <w:tcW w:w="2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评价要点：①是否已制定或具有相应的财务和业务管理制度；②财务和业务管理制度是否合法、合规、完整。</w:t>
            </w:r>
          </w:p>
        </w:tc>
        <w:tc>
          <w:tcPr>
            <w:tcW w:w="2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满足一项得50%权重分。</w:t>
            </w:r>
          </w:p>
        </w:tc>
      </w:tr>
      <w:tr>
        <w:tblPrEx>
          <w:tblCellMar>
            <w:top w:w="0" w:type="dxa"/>
            <w:left w:w="108" w:type="dxa"/>
            <w:bottom w:w="0" w:type="dxa"/>
            <w:right w:w="108" w:type="dxa"/>
          </w:tblCellMar>
        </w:tblPrEx>
        <w:trPr>
          <w:trHeight w:val="23" w:hRule="atLeast"/>
        </w:trPr>
        <w:tc>
          <w:tcPr>
            <w:tcW w:w="868"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400" w:lineRule="exact"/>
              <w:ind w:firstLine="0" w:firstLineChars="0"/>
              <w:jc w:val="center"/>
              <w:rPr>
                <w:rFonts w:ascii="仿宋_GB2312"/>
                <w:sz w:val="24"/>
              </w:rPr>
            </w:pPr>
          </w:p>
        </w:tc>
        <w:tc>
          <w:tcPr>
            <w:tcW w:w="1271"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400" w:lineRule="exact"/>
              <w:ind w:firstLine="0" w:firstLineChars="0"/>
              <w:jc w:val="center"/>
              <w:rPr>
                <w:rFonts w:ascii="仿宋_GB2312"/>
                <w:sz w:val="24"/>
              </w:rPr>
            </w:pPr>
          </w:p>
        </w:tc>
        <w:tc>
          <w:tcPr>
            <w:tcW w:w="1536"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制度执行有效性</w:t>
            </w:r>
          </w:p>
        </w:tc>
        <w:tc>
          <w:tcPr>
            <w:tcW w:w="1136"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有效</w:t>
            </w:r>
          </w:p>
        </w:tc>
        <w:tc>
          <w:tcPr>
            <w:tcW w:w="707"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5</w:t>
            </w:r>
          </w:p>
        </w:tc>
        <w:tc>
          <w:tcPr>
            <w:tcW w:w="2716"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项目实施是否符合相关管理规定，用以反映和考核相关管理制度的有效执行情况。</w:t>
            </w:r>
          </w:p>
        </w:tc>
        <w:tc>
          <w:tcPr>
            <w:tcW w:w="2981"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评价要点：①是否遵守相关法律法规和相关管理规定；②项目调整及支出调整手续是否完备；③项目合同书、验收报告、技术鉴定等资料是否齐全并及时归档；④项目实施的人员条件、场地设备、信息支撑等是否落实到位。</w:t>
            </w:r>
          </w:p>
        </w:tc>
        <w:tc>
          <w:tcPr>
            <w:tcW w:w="2972"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满足一项得25%权重分。</w:t>
            </w:r>
          </w:p>
        </w:tc>
      </w:tr>
      <w:tr>
        <w:tblPrEx>
          <w:tblCellMar>
            <w:top w:w="0" w:type="dxa"/>
            <w:left w:w="108" w:type="dxa"/>
            <w:bottom w:w="0" w:type="dxa"/>
            <w:right w:w="108" w:type="dxa"/>
          </w:tblCellMar>
        </w:tblPrEx>
        <w:trPr>
          <w:trHeight w:val="23" w:hRule="atLeast"/>
        </w:trPr>
        <w:tc>
          <w:tcPr>
            <w:tcW w:w="86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产出（30分）</w:t>
            </w:r>
          </w:p>
        </w:tc>
        <w:tc>
          <w:tcPr>
            <w:tcW w:w="12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产出数量(8分）</w:t>
            </w:r>
          </w:p>
        </w:tc>
        <w:tc>
          <w:tcPr>
            <w:tcW w:w="15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计划投资完成率</w:t>
            </w:r>
            <w:r>
              <w:rPr>
                <w:rFonts w:hint="eastAsia" w:ascii="仿宋_GB2312"/>
                <w:kern w:val="0"/>
                <w:sz w:val="24"/>
                <w:lang w:bidi="ar"/>
              </w:rPr>
              <w:tab/>
            </w: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80.00%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8</w:t>
            </w:r>
          </w:p>
        </w:tc>
        <w:tc>
          <w:tcPr>
            <w:tcW w:w="27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考察项目完成情况。</w:t>
            </w:r>
          </w:p>
        </w:tc>
        <w:tc>
          <w:tcPr>
            <w:tcW w:w="29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计划投资完成率=实际完成工作量/总工作量*100%</w:t>
            </w:r>
          </w:p>
        </w:tc>
        <w:tc>
          <w:tcPr>
            <w:tcW w:w="2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完成率在80.00%及以上得满分权重分，每下降1%扣1.25%权重分，直至零分。</w:t>
            </w:r>
          </w:p>
        </w:tc>
      </w:tr>
      <w:tr>
        <w:tblPrEx>
          <w:tblCellMar>
            <w:top w:w="0" w:type="dxa"/>
            <w:left w:w="108" w:type="dxa"/>
            <w:bottom w:w="0" w:type="dxa"/>
            <w:right w:w="108" w:type="dxa"/>
          </w:tblCellMar>
        </w:tblPrEx>
        <w:trPr>
          <w:trHeight w:val="23" w:hRule="atLeast"/>
        </w:trPr>
        <w:tc>
          <w:tcPr>
            <w:tcW w:w="8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p>
        </w:tc>
        <w:tc>
          <w:tcPr>
            <w:tcW w:w="12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产出质量（8分）</w:t>
            </w:r>
          </w:p>
        </w:tc>
        <w:tc>
          <w:tcPr>
            <w:tcW w:w="15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主体工程合格率</w:t>
            </w: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100.00%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8</w:t>
            </w:r>
          </w:p>
        </w:tc>
        <w:tc>
          <w:tcPr>
            <w:tcW w:w="27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考察工程的相关质量是否达到相应标准，验收是否合格。</w:t>
            </w:r>
          </w:p>
        </w:tc>
        <w:tc>
          <w:tcPr>
            <w:tcW w:w="29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合格率=主体工程验收合格工程量/主体工程建设工程量</w:t>
            </w:r>
          </w:p>
        </w:tc>
        <w:tc>
          <w:tcPr>
            <w:tcW w:w="2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合格率达到100%得满分权重分，每下降1%扣1%权重分，直至零分。</w:t>
            </w:r>
          </w:p>
        </w:tc>
      </w:tr>
      <w:tr>
        <w:tblPrEx>
          <w:tblCellMar>
            <w:top w:w="0" w:type="dxa"/>
            <w:left w:w="108" w:type="dxa"/>
            <w:bottom w:w="0" w:type="dxa"/>
            <w:right w:w="108" w:type="dxa"/>
          </w:tblCellMar>
        </w:tblPrEx>
        <w:trPr>
          <w:trHeight w:val="23" w:hRule="atLeast"/>
        </w:trPr>
        <w:tc>
          <w:tcPr>
            <w:tcW w:w="8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p>
        </w:tc>
        <w:tc>
          <w:tcPr>
            <w:tcW w:w="12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产出时效（6分）</w:t>
            </w:r>
          </w:p>
        </w:tc>
        <w:tc>
          <w:tcPr>
            <w:tcW w:w="15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工程建设按期完工率</w:t>
            </w: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100.00%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6</w:t>
            </w:r>
          </w:p>
        </w:tc>
        <w:tc>
          <w:tcPr>
            <w:tcW w:w="27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考察项目工程建设完成时效</w:t>
            </w:r>
          </w:p>
        </w:tc>
        <w:tc>
          <w:tcPr>
            <w:tcW w:w="29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按期完工率=按期完工的数量/工程总量</w:t>
            </w:r>
          </w:p>
        </w:tc>
        <w:tc>
          <w:tcPr>
            <w:tcW w:w="2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完工率达到100%得满分权重分，每下降1%扣1%权重分，直至零分。</w:t>
            </w:r>
          </w:p>
        </w:tc>
      </w:tr>
      <w:tr>
        <w:tblPrEx>
          <w:tblCellMar>
            <w:top w:w="0" w:type="dxa"/>
            <w:left w:w="108" w:type="dxa"/>
            <w:bottom w:w="0" w:type="dxa"/>
            <w:right w:w="108" w:type="dxa"/>
          </w:tblCellMar>
        </w:tblPrEx>
        <w:trPr>
          <w:trHeight w:val="23" w:hRule="atLeast"/>
        </w:trPr>
        <w:tc>
          <w:tcPr>
            <w:tcW w:w="8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p>
        </w:tc>
        <w:tc>
          <w:tcPr>
            <w:tcW w:w="12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经济成本（8分）</w:t>
            </w:r>
          </w:p>
        </w:tc>
        <w:tc>
          <w:tcPr>
            <w:tcW w:w="15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超概率</w:t>
            </w:r>
          </w:p>
        </w:tc>
        <w:tc>
          <w:tcPr>
            <w:tcW w:w="11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8</w:t>
            </w:r>
          </w:p>
        </w:tc>
        <w:tc>
          <w:tcPr>
            <w:tcW w:w="27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考察项目支出是否符合概算批复的标准。</w:t>
            </w:r>
          </w:p>
        </w:tc>
        <w:tc>
          <w:tcPr>
            <w:tcW w:w="29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以批复的概算文件为准，未超过概算批复，否则不得分。</w:t>
            </w:r>
          </w:p>
        </w:tc>
        <w:tc>
          <w:tcPr>
            <w:tcW w:w="2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未超概算得满分，超概算不得分。</w:t>
            </w:r>
          </w:p>
        </w:tc>
      </w:tr>
      <w:tr>
        <w:tblPrEx>
          <w:tblCellMar>
            <w:top w:w="0" w:type="dxa"/>
            <w:left w:w="108" w:type="dxa"/>
            <w:bottom w:w="0" w:type="dxa"/>
            <w:right w:w="108" w:type="dxa"/>
          </w:tblCellMar>
        </w:tblPrEx>
        <w:trPr>
          <w:trHeight w:val="23" w:hRule="atLeast"/>
        </w:trPr>
        <w:tc>
          <w:tcPr>
            <w:tcW w:w="868" w:type="dxa"/>
            <w:vMerge w:val="restart"/>
            <w:tcBorders>
              <w:top w:val="single" w:color="auto" w:sz="4" w:space="0"/>
              <w:left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效益（30分）</w:t>
            </w:r>
          </w:p>
        </w:tc>
        <w:tc>
          <w:tcPr>
            <w:tcW w:w="12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社会效益（15分）</w:t>
            </w:r>
          </w:p>
        </w:tc>
        <w:tc>
          <w:tcPr>
            <w:tcW w:w="15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省道改建路段完好率</w:t>
            </w:r>
          </w:p>
        </w:tc>
        <w:tc>
          <w:tcPr>
            <w:tcW w:w="11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≥95%</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15</w:t>
            </w:r>
          </w:p>
        </w:tc>
        <w:tc>
          <w:tcPr>
            <w:tcW w:w="27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考察项目实施对省道改建路段路面保护情况</w:t>
            </w:r>
          </w:p>
        </w:tc>
        <w:tc>
          <w:tcPr>
            <w:tcW w:w="29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完好率=对省道改建路段完好里程/对省道改建路段建设总里程。</w:t>
            </w:r>
          </w:p>
        </w:tc>
        <w:tc>
          <w:tcPr>
            <w:tcW w:w="2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sz w:val="24"/>
              </w:rPr>
            </w:pPr>
            <w:r>
              <w:rPr>
                <w:rFonts w:hint="eastAsia" w:ascii="仿宋_GB2312"/>
                <w:kern w:val="0"/>
                <w:sz w:val="24"/>
                <w:lang w:bidi="ar"/>
              </w:rPr>
              <w:t>完好率达到≥95%得满分权重分，每下降1%扣1.05%权重分，直至零分。</w:t>
            </w:r>
          </w:p>
        </w:tc>
      </w:tr>
      <w:tr>
        <w:tblPrEx>
          <w:tblCellMar>
            <w:top w:w="0" w:type="dxa"/>
            <w:left w:w="108" w:type="dxa"/>
            <w:bottom w:w="0" w:type="dxa"/>
            <w:right w:w="108" w:type="dxa"/>
          </w:tblCellMar>
        </w:tblPrEx>
        <w:trPr>
          <w:trHeight w:val="23" w:hRule="atLeast"/>
        </w:trPr>
        <w:tc>
          <w:tcPr>
            <w:tcW w:w="868" w:type="dxa"/>
            <w:vMerge w:val="continue"/>
            <w:tcBorders>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p>
        </w:tc>
        <w:tc>
          <w:tcPr>
            <w:tcW w:w="12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社会效益（15分）</w:t>
            </w:r>
          </w:p>
        </w:tc>
        <w:tc>
          <w:tcPr>
            <w:tcW w:w="15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海南省中北部地区运输条件</w:t>
            </w:r>
          </w:p>
        </w:tc>
        <w:tc>
          <w:tcPr>
            <w:tcW w:w="11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改善</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15</w:t>
            </w:r>
          </w:p>
        </w:tc>
        <w:tc>
          <w:tcPr>
            <w:tcW w:w="27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考察项目是否改善海南省中北部地区运输条件。</w:t>
            </w:r>
          </w:p>
        </w:tc>
        <w:tc>
          <w:tcPr>
            <w:tcW w:w="29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考察通过该项目实施建设，是否改善海南省中北部地区运输条件。</w:t>
            </w:r>
          </w:p>
        </w:tc>
        <w:tc>
          <w:tcPr>
            <w:tcW w:w="2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ascii="仿宋_GB2312"/>
                <w:kern w:val="0"/>
                <w:sz w:val="24"/>
                <w:lang w:bidi="ar"/>
              </w:rPr>
            </w:pPr>
            <w:r>
              <w:rPr>
                <w:rFonts w:hint="eastAsia" w:ascii="仿宋_GB2312"/>
                <w:kern w:val="0"/>
                <w:sz w:val="24"/>
                <w:lang w:bidi="ar"/>
              </w:rPr>
              <w:t>分为基本达成目标、部分实现目标、实现目标程度较低三个档次，依据实际情况作三级判断。</w:t>
            </w:r>
          </w:p>
        </w:tc>
      </w:tr>
      <w:tr>
        <w:tblPrEx>
          <w:tblCellMar>
            <w:top w:w="0" w:type="dxa"/>
            <w:left w:w="108" w:type="dxa"/>
            <w:bottom w:w="0" w:type="dxa"/>
            <w:right w:w="108" w:type="dxa"/>
          </w:tblCellMar>
        </w:tblPrEx>
        <w:trPr>
          <w:trHeight w:val="23" w:hRule="atLeast"/>
        </w:trPr>
        <w:tc>
          <w:tcPr>
            <w:tcW w:w="4820" w:type="dxa"/>
            <w:gridSpan w:val="5"/>
            <w:tcBorders>
              <w:top w:val="single" w:color="auto"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ascii="仿宋_GB2312"/>
                <w:b/>
                <w:bCs/>
                <w:kern w:val="0"/>
                <w:sz w:val="24"/>
                <w:lang w:bidi="ar"/>
              </w:rPr>
            </w:pPr>
            <w:r>
              <w:rPr>
                <w:rFonts w:hint="eastAsia" w:ascii="仿宋_GB2312"/>
                <w:b/>
                <w:bCs/>
                <w:kern w:val="0"/>
                <w:sz w:val="24"/>
                <w:lang w:bidi="ar"/>
              </w:rPr>
              <w:t>合计</w:t>
            </w:r>
          </w:p>
        </w:tc>
        <w:tc>
          <w:tcPr>
            <w:tcW w:w="707" w:type="dxa"/>
            <w:gridSpan w:val="2"/>
            <w:tcBorders>
              <w:top w:val="single" w:color="auto"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ascii="仿宋_GB2312"/>
                <w:b/>
                <w:bCs/>
                <w:kern w:val="0"/>
                <w:sz w:val="24"/>
                <w:lang w:bidi="ar"/>
              </w:rPr>
            </w:pPr>
            <w:r>
              <w:rPr>
                <w:rFonts w:hint="eastAsia" w:ascii="仿宋_GB2312"/>
                <w:b/>
                <w:bCs/>
                <w:kern w:val="0"/>
                <w:sz w:val="24"/>
                <w:lang w:bidi="ar"/>
              </w:rPr>
              <w:t>100</w:t>
            </w:r>
          </w:p>
        </w:tc>
        <w:tc>
          <w:tcPr>
            <w:tcW w:w="2707"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rPr>
                <w:rFonts w:ascii="仿宋_GB2312"/>
                <w:b/>
                <w:bCs/>
                <w:sz w:val="24"/>
              </w:rPr>
            </w:pPr>
          </w:p>
        </w:tc>
        <w:tc>
          <w:tcPr>
            <w:tcW w:w="2972"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rPr>
                <w:rFonts w:ascii="仿宋_GB2312"/>
                <w:b/>
                <w:bCs/>
                <w:sz w:val="24"/>
              </w:rPr>
            </w:pPr>
          </w:p>
        </w:tc>
        <w:tc>
          <w:tcPr>
            <w:tcW w:w="2981"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ascii="仿宋_GB2312"/>
                <w:b/>
                <w:bCs/>
                <w:sz w:val="24"/>
              </w:rPr>
            </w:pPr>
          </w:p>
        </w:tc>
      </w:tr>
    </w:tbl>
    <w:p>
      <w:pPr>
        <w:pStyle w:val="16"/>
        <w:ind w:left="640" w:firstLine="640"/>
        <w:rPr>
          <w:rFonts w:ascii="仿宋_GB2312"/>
          <w:lang w:eastAsia="zh-Hans"/>
        </w:rPr>
        <w:sectPr>
          <w:pgSz w:w="16838" w:h="11906" w:orient="landscape"/>
          <w:pgMar w:top="1440" w:right="1797" w:bottom="1440" w:left="1797" w:header="851" w:footer="992" w:gutter="0"/>
          <w:cols w:space="0" w:num="1"/>
          <w:docGrid w:type="lines" w:linePitch="435" w:charSpace="0"/>
        </w:sectPr>
      </w:pPr>
    </w:p>
    <w:p>
      <w:pPr>
        <w:pStyle w:val="7"/>
        <w:keepNext w:val="0"/>
        <w:keepLines w:val="0"/>
        <w:pageBreakBefore w:val="0"/>
        <w:widowControl w:val="0"/>
        <w:numPr>
          <w:ilvl w:val="0"/>
          <w:numId w:val="2"/>
        </w:numPr>
        <w:kinsoku/>
        <w:wordWrap/>
        <w:overflowPunct/>
        <w:topLinePunct w:val="0"/>
        <w:autoSpaceDE/>
        <w:autoSpaceDN/>
        <w:bidi w:val="0"/>
        <w:adjustRightInd/>
        <w:snapToGrid/>
        <w:ind w:firstLine="643"/>
        <w:textAlignment w:val="auto"/>
        <w:outlineLvl w:val="1"/>
        <w:rPr>
          <w:rFonts w:ascii="楷体_GB2312" w:hAnsi="Times New Roman" w:eastAsia="楷体_GB2312" w:cs="Times New Roman"/>
          <w:b/>
          <w:bCs/>
        </w:rPr>
      </w:pPr>
      <w:bookmarkStart w:id="54" w:name="_Toc19897"/>
      <w:r>
        <w:rPr>
          <w:rFonts w:hint="eastAsia" w:ascii="楷体_GB2312" w:hAnsi="Times New Roman" w:eastAsia="楷体_GB2312" w:cs="Times New Roman"/>
          <w:b/>
          <w:bCs/>
        </w:rPr>
        <w:t>绩效评价工作过程</w:t>
      </w:r>
      <w:bookmarkEnd w:id="54"/>
    </w:p>
    <w:p>
      <w:pPr>
        <w:keepNext w:val="0"/>
        <w:keepLines w:val="0"/>
        <w:pageBreakBefore w:val="0"/>
        <w:widowControl w:val="0"/>
        <w:kinsoku/>
        <w:wordWrap/>
        <w:overflowPunct/>
        <w:topLinePunct w:val="0"/>
        <w:autoSpaceDE/>
        <w:autoSpaceDN/>
        <w:bidi w:val="0"/>
        <w:adjustRightInd/>
        <w:snapToGrid/>
        <w:ind w:firstLine="643"/>
        <w:textAlignment w:val="auto"/>
        <w:outlineLvl w:val="2"/>
        <w:rPr>
          <w:rFonts w:ascii="仿宋_GB2312"/>
          <w:b/>
          <w:bCs/>
        </w:rPr>
      </w:pPr>
      <w:bookmarkStart w:id="55" w:name="_Toc11015"/>
      <w:bookmarkStart w:id="56" w:name="_Toc27308"/>
      <w:bookmarkStart w:id="57" w:name="_Toc10661"/>
      <w:bookmarkStart w:id="58" w:name="_Toc9354"/>
      <w:bookmarkStart w:id="59" w:name="_Toc15253"/>
      <w:r>
        <w:rPr>
          <w:rFonts w:hint="eastAsia" w:ascii="仿宋_GB2312"/>
          <w:b/>
          <w:bCs/>
        </w:rPr>
        <w:t>1.前期准备阶段</w:t>
      </w:r>
      <w:bookmarkEnd w:id="55"/>
      <w:bookmarkEnd w:id="56"/>
      <w:bookmarkEnd w:id="57"/>
      <w:bookmarkEnd w:id="58"/>
      <w:bookmarkEnd w:id="59"/>
    </w:p>
    <w:p>
      <w:pPr>
        <w:keepNext w:val="0"/>
        <w:keepLines w:val="0"/>
        <w:pageBreakBefore w:val="0"/>
        <w:widowControl w:val="0"/>
        <w:kinsoku/>
        <w:wordWrap/>
        <w:overflowPunct/>
        <w:topLinePunct w:val="0"/>
        <w:autoSpaceDE/>
        <w:autoSpaceDN/>
        <w:bidi w:val="0"/>
        <w:adjustRightInd/>
        <w:snapToGrid/>
        <w:textAlignment w:val="auto"/>
        <w:rPr>
          <w:rFonts w:ascii="仿宋_GB2312"/>
        </w:rPr>
      </w:pPr>
      <w:r>
        <w:rPr>
          <w:rFonts w:hint="eastAsia" w:ascii="仿宋_GB2312"/>
        </w:rPr>
        <w:t>评价准备阶段的主要任务包括：</w:t>
      </w:r>
    </w:p>
    <w:p>
      <w:pPr>
        <w:keepNext w:val="0"/>
        <w:keepLines w:val="0"/>
        <w:pageBreakBefore w:val="0"/>
        <w:widowControl w:val="0"/>
        <w:kinsoku/>
        <w:wordWrap/>
        <w:overflowPunct/>
        <w:topLinePunct w:val="0"/>
        <w:autoSpaceDE/>
        <w:autoSpaceDN/>
        <w:bidi w:val="0"/>
        <w:adjustRightInd/>
        <w:snapToGrid/>
        <w:textAlignment w:val="auto"/>
        <w:rPr>
          <w:rFonts w:ascii="仿宋_GB2312"/>
        </w:rPr>
      </w:pPr>
      <w:r>
        <w:rPr>
          <w:rFonts w:hint="eastAsia" w:ascii="仿宋_GB2312"/>
        </w:rPr>
        <w:t>（1）确定评价对象。绩效评价对象由财政部门和部门（单位）根据绩效评价工作重点及预算管理要求确定，第三方评价机构根据财政部门和部门（单位）要求对特定对象进行绩效评价。</w:t>
      </w:r>
    </w:p>
    <w:p>
      <w:pPr>
        <w:keepNext w:val="0"/>
        <w:keepLines w:val="0"/>
        <w:pageBreakBefore w:val="0"/>
        <w:widowControl w:val="0"/>
        <w:kinsoku/>
        <w:wordWrap/>
        <w:overflowPunct/>
        <w:topLinePunct w:val="0"/>
        <w:autoSpaceDE/>
        <w:autoSpaceDN/>
        <w:bidi w:val="0"/>
        <w:adjustRightInd/>
        <w:snapToGrid/>
        <w:textAlignment w:val="auto"/>
        <w:rPr>
          <w:rFonts w:ascii="仿宋_GB2312"/>
        </w:rPr>
      </w:pPr>
      <w:r>
        <w:rPr>
          <w:rFonts w:hint="eastAsia" w:ascii="仿宋_GB2312"/>
        </w:rPr>
        <w:t>（2）明确评价目的。评价目的决定了绩效评价的基本方向，只有解决了为什么要进行评价，才能使各评价活动朝着既定的方向迈进。</w:t>
      </w:r>
    </w:p>
    <w:p>
      <w:pPr>
        <w:keepNext w:val="0"/>
        <w:keepLines w:val="0"/>
        <w:pageBreakBefore w:val="0"/>
        <w:widowControl w:val="0"/>
        <w:kinsoku/>
        <w:wordWrap/>
        <w:overflowPunct/>
        <w:topLinePunct w:val="0"/>
        <w:autoSpaceDE/>
        <w:autoSpaceDN/>
        <w:bidi w:val="0"/>
        <w:adjustRightInd/>
        <w:snapToGrid/>
        <w:textAlignment w:val="auto"/>
        <w:rPr>
          <w:rFonts w:ascii="仿宋_GB2312"/>
        </w:rPr>
      </w:pPr>
      <w:r>
        <w:rPr>
          <w:rFonts w:hint="eastAsia" w:ascii="仿宋_GB2312"/>
        </w:rPr>
        <w:t>（3）选择评价方法。评价方法一般包括以指标体系为核心的综合评价法、以绩效分析为主的逻辑分析法，综合评价法形成得分判断结论，逻辑分析法则形成定性判断结论。根据不同绩效评价的目的选择合适的评价方法。</w:t>
      </w:r>
    </w:p>
    <w:p>
      <w:pPr>
        <w:keepNext w:val="0"/>
        <w:keepLines w:val="0"/>
        <w:pageBreakBefore w:val="0"/>
        <w:widowControl w:val="0"/>
        <w:kinsoku/>
        <w:wordWrap/>
        <w:overflowPunct/>
        <w:topLinePunct w:val="0"/>
        <w:autoSpaceDE/>
        <w:autoSpaceDN/>
        <w:bidi w:val="0"/>
        <w:adjustRightInd/>
        <w:snapToGrid/>
        <w:textAlignment w:val="auto"/>
        <w:rPr>
          <w:rFonts w:ascii="仿宋_GB2312"/>
        </w:rPr>
      </w:pPr>
      <w:r>
        <w:rPr>
          <w:rFonts w:hint="eastAsia" w:ascii="仿宋_GB2312"/>
        </w:rPr>
        <w:t>（4）撰写评价方案。绩效评价方案的内容包括：①项目概况，包括立项背景及目的、立项依据、预算资金安排、计划实施内容、项目组织及管理、利益相关方、项目绩效目标等内容；②针对评价目的和依据、对象和范围等，明确评价思路；③提出绩效评价指标体系设计思路；④确定评价的具体方法；⑤设计社会调查方案；⑥明确评价时间，规定工作进度的有关计划；⑦其他内容。</w:t>
      </w:r>
    </w:p>
    <w:p>
      <w:pPr>
        <w:keepNext w:val="0"/>
        <w:keepLines w:val="0"/>
        <w:pageBreakBefore w:val="0"/>
        <w:widowControl w:val="0"/>
        <w:kinsoku/>
        <w:wordWrap/>
        <w:overflowPunct/>
        <w:topLinePunct w:val="0"/>
        <w:autoSpaceDE/>
        <w:autoSpaceDN/>
        <w:bidi w:val="0"/>
        <w:adjustRightInd/>
        <w:snapToGrid/>
        <w:ind w:firstLine="643"/>
        <w:textAlignment w:val="auto"/>
        <w:outlineLvl w:val="2"/>
        <w:rPr>
          <w:rFonts w:ascii="仿宋_GB2312"/>
          <w:b/>
          <w:bCs/>
        </w:rPr>
      </w:pPr>
      <w:bookmarkStart w:id="60" w:name="_Toc16724"/>
      <w:bookmarkStart w:id="61" w:name="_Toc19839"/>
      <w:bookmarkStart w:id="62" w:name="_Toc8640"/>
      <w:bookmarkStart w:id="63" w:name="_Toc16563"/>
      <w:bookmarkStart w:id="64" w:name="_Toc809"/>
      <w:r>
        <w:rPr>
          <w:rFonts w:hint="eastAsia" w:ascii="仿宋_GB2312"/>
          <w:b/>
          <w:bCs/>
        </w:rPr>
        <w:t>2.组织实施阶段</w:t>
      </w:r>
      <w:bookmarkEnd w:id="60"/>
      <w:bookmarkEnd w:id="61"/>
      <w:bookmarkEnd w:id="62"/>
      <w:bookmarkEnd w:id="63"/>
      <w:bookmarkEnd w:id="64"/>
    </w:p>
    <w:p>
      <w:pPr>
        <w:keepNext w:val="0"/>
        <w:keepLines w:val="0"/>
        <w:pageBreakBefore w:val="0"/>
        <w:widowControl w:val="0"/>
        <w:kinsoku/>
        <w:wordWrap/>
        <w:overflowPunct/>
        <w:topLinePunct w:val="0"/>
        <w:autoSpaceDE/>
        <w:autoSpaceDN/>
        <w:bidi w:val="0"/>
        <w:adjustRightInd/>
        <w:snapToGrid/>
        <w:textAlignment w:val="auto"/>
        <w:rPr>
          <w:rFonts w:ascii="仿宋_GB2312"/>
          <w:sz w:val="24"/>
          <w:lang w:bidi="ar"/>
        </w:rPr>
      </w:pPr>
      <w:r>
        <w:rPr>
          <w:rFonts w:hint="eastAsia" w:ascii="仿宋_GB2312"/>
        </w:rPr>
        <w:t>评价组与项目相关负责人进行沟通和访谈</w:t>
      </w:r>
      <w:r>
        <w:rPr>
          <w:rFonts w:hint="eastAsia" w:ascii="仿宋_GB2312"/>
          <w:lang w:eastAsia="zh-Hans"/>
        </w:rPr>
        <w:t>，</w:t>
      </w:r>
      <w:r>
        <w:rPr>
          <w:rFonts w:hint="eastAsia" w:ascii="仿宋_GB2312"/>
        </w:rPr>
        <w:t>对项目的相关资料进行收集和整理。具体数据采集方法和过程如下：</w:t>
      </w:r>
    </w:p>
    <w:p>
      <w:pPr>
        <w:keepNext w:val="0"/>
        <w:keepLines w:val="0"/>
        <w:pageBreakBefore w:val="0"/>
        <w:widowControl w:val="0"/>
        <w:kinsoku/>
        <w:wordWrap/>
        <w:overflowPunct/>
        <w:topLinePunct w:val="0"/>
        <w:autoSpaceDE/>
        <w:autoSpaceDN/>
        <w:bidi w:val="0"/>
        <w:adjustRightInd/>
        <w:snapToGrid/>
        <w:textAlignment w:val="auto"/>
        <w:rPr>
          <w:rFonts w:ascii="仿宋_GB2312"/>
        </w:rPr>
      </w:pPr>
      <w:r>
        <w:rPr>
          <w:rFonts w:hint="eastAsia" w:ascii="仿宋_GB2312"/>
          <w:lang w:eastAsia="zh-Hans"/>
        </w:rPr>
        <w:t>（1）</w:t>
      </w:r>
      <w:r>
        <w:rPr>
          <w:rFonts w:hint="eastAsia" w:ascii="仿宋_GB2312"/>
        </w:rPr>
        <w:t>基础数据采集</w:t>
      </w:r>
      <w:r>
        <w:rPr>
          <w:rFonts w:hint="eastAsia" w:ascii="仿宋_GB2312"/>
          <w:lang w:eastAsia="zh-Hans"/>
        </w:rPr>
        <w:t>。</w:t>
      </w:r>
      <w:r>
        <w:rPr>
          <w:rFonts w:hint="eastAsia" w:ascii="仿宋_GB2312"/>
        </w:rPr>
        <w:t>在</w:t>
      </w:r>
      <w:r>
        <w:rPr>
          <w:rFonts w:hint="eastAsia" w:ascii="仿宋_GB2312"/>
          <w:lang w:eastAsia="zh-Hans"/>
        </w:rPr>
        <w:t>财政部门、预算部门</w:t>
      </w:r>
      <w:r>
        <w:rPr>
          <w:rFonts w:hint="eastAsia" w:ascii="仿宋_GB2312"/>
        </w:rPr>
        <w:t>的支持和配合下，评价组完成了基础数据的填报</w:t>
      </w:r>
      <w:r>
        <w:rPr>
          <w:rFonts w:hint="eastAsia" w:ascii="仿宋_GB2312"/>
          <w:lang w:eastAsia="zh-Hans"/>
        </w:rPr>
        <w:t>、收集工作</w:t>
      </w:r>
      <w:r>
        <w:rPr>
          <w:rFonts w:hint="eastAsia" w:ascii="仿宋_GB2312"/>
        </w:rPr>
        <w:t>。</w:t>
      </w:r>
    </w:p>
    <w:p>
      <w:pPr>
        <w:keepNext w:val="0"/>
        <w:keepLines w:val="0"/>
        <w:pageBreakBefore w:val="0"/>
        <w:widowControl w:val="0"/>
        <w:kinsoku/>
        <w:wordWrap/>
        <w:overflowPunct/>
        <w:topLinePunct w:val="0"/>
        <w:autoSpaceDE/>
        <w:autoSpaceDN/>
        <w:bidi w:val="0"/>
        <w:adjustRightInd/>
        <w:snapToGrid/>
        <w:textAlignment w:val="auto"/>
        <w:rPr>
          <w:rFonts w:ascii="仿宋_GB2312"/>
        </w:rPr>
      </w:pPr>
      <w:r>
        <w:rPr>
          <w:rFonts w:hint="eastAsia" w:ascii="仿宋_GB2312"/>
          <w:lang w:eastAsia="zh-Hans"/>
        </w:rPr>
        <w:t>（2）</w:t>
      </w:r>
      <w:r>
        <w:rPr>
          <w:rFonts w:hint="eastAsia" w:ascii="仿宋_GB2312"/>
        </w:rPr>
        <w:t>数据检查复核</w:t>
      </w:r>
      <w:r>
        <w:rPr>
          <w:rFonts w:hint="eastAsia" w:ascii="仿宋_GB2312"/>
          <w:lang w:eastAsia="zh-Hans"/>
        </w:rPr>
        <w:t>。对项目</w:t>
      </w:r>
      <w:r>
        <w:rPr>
          <w:rFonts w:hint="eastAsia" w:ascii="仿宋_GB2312"/>
        </w:rPr>
        <w:t>资金的实际使用情况进行了检查，并对项目相关文件、合同、支付凭证等进行了核对检查，以测算项目各环节的实际成本。</w:t>
      </w:r>
    </w:p>
    <w:p>
      <w:pPr>
        <w:keepNext w:val="0"/>
        <w:keepLines w:val="0"/>
        <w:pageBreakBefore w:val="0"/>
        <w:widowControl w:val="0"/>
        <w:kinsoku/>
        <w:wordWrap/>
        <w:overflowPunct/>
        <w:topLinePunct w:val="0"/>
        <w:autoSpaceDE/>
        <w:autoSpaceDN/>
        <w:bidi w:val="0"/>
        <w:adjustRightInd/>
        <w:snapToGrid/>
        <w:textAlignment w:val="auto"/>
        <w:rPr>
          <w:rFonts w:ascii="仿宋_GB2312"/>
        </w:rPr>
      </w:pPr>
      <w:r>
        <w:rPr>
          <w:rFonts w:hint="eastAsia" w:ascii="仿宋_GB2312"/>
          <w:lang w:eastAsia="zh-Hans"/>
        </w:rPr>
        <w:t>（3）</w:t>
      </w:r>
      <w:r>
        <w:rPr>
          <w:rFonts w:hint="eastAsia" w:ascii="仿宋_GB2312"/>
        </w:rPr>
        <w:t>访谈调研</w:t>
      </w:r>
      <w:r>
        <w:rPr>
          <w:rFonts w:hint="eastAsia" w:ascii="仿宋_GB2312"/>
          <w:lang w:eastAsia="zh-Hans"/>
        </w:rPr>
        <w:t>。</w:t>
      </w:r>
      <w:r>
        <w:rPr>
          <w:rFonts w:hint="eastAsia" w:ascii="仿宋_GB2312"/>
        </w:rPr>
        <w:t>评价组对项目相关负责人进行了访谈，针对项目管理情况、运营情况、资金投入及成本控制以及存在的问题及改进建议等问题进行了详细了解。</w:t>
      </w:r>
    </w:p>
    <w:p>
      <w:pPr>
        <w:keepNext w:val="0"/>
        <w:keepLines w:val="0"/>
        <w:pageBreakBefore w:val="0"/>
        <w:widowControl w:val="0"/>
        <w:kinsoku/>
        <w:wordWrap/>
        <w:overflowPunct/>
        <w:topLinePunct w:val="0"/>
        <w:autoSpaceDE/>
        <w:autoSpaceDN/>
        <w:bidi w:val="0"/>
        <w:adjustRightInd/>
        <w:snapToGrid/>
        <w:ind w:firstLine="643"/>
        <w:textAlignment w:val="auto"/>
        <w:outlineLvl w:val="2"/>
        <w:rPr>
          <w:rFonts w:ascii="仿宋_GB2312"/>
          <w:b/>
          <w:bCs/>
        </w:rPr>
      </w:pPr>
      <w:bookmarkStart w:id="65" w:name="_Toc11573"/>
      <w:bookmarkStart w:id="66" w:name="_Toc54107606"/>
      <w:bookmarkStart w:id="67" w:name="_Toc25238"/>
      <w:bookmarkStart w:id="68" w:name="_Toc28829"/>
      <w:bookmarkStart w:id="69" w:name="_Toc6247"/>
      <w:bookmarkStart w:id="70" w:name="_Toc13378"/>
      <w:bookmarkStart w:id="71" w:name="_Toc25597"/>
      <w:r>
        <w:rPr>
          <w:rFonts w:hint="eastAsia" w:ascii="仿宋_GB2312"/>
          <w:b/>
          <w:bCs/>
        </w:rPr>
        <w:t>3.</w:t>
      </w:r>
      <w:bookmarkEnd w:id="65"/>
      <w:bookmarkEnd w:id="66"/>
      <w:r>
        <w:rPr>
          <w:rFonts w:hint="eastAsia" w:ascii="仿宋_GB2312"/>
          <w:b/>
          <w:bCs/>
          <w:lang w:eastAsia="zh-Hans"/>
        </w:rPr>
        <w:t>评价分析阶段</w:t>
      </w:r>
      <w:bookmarkEnd w:id="67"/>
      <w:bookmarkEnd w:id="68"/>
      <w:bookmarkEnd w:id="69"/>
      <w:bookmarkEnd w:id="70"/>
      <w:bookmarkEnd w:id="71"/>
    </w:p>
    <w:p>
      <w:pPr>
        <w:keepNext w:val="0"/>
        <w:keepLines w:val="0"/>
        <w:pageBreakBefore w:val="0"/>
        <w:widowControl w:val="0"/>
        <w:kinsoku/>
        <w:wordWrap/>
        <w:overflowPunct/>
        <w:topLinePunct w:val="0"/>
        <w:autoSpaceDE/>
        <w:autoSpaceDN/>
        <w:bidi w:val="0"/>
        <w:adjustRightInd/>
        <w:snapToGrid/>
        <w:textAlignment w:val="auto"/>
        <w:rPr>
          <w:rFonts w:ascii="仿宋_GB2312"/>
        </w:rPr>
      </w:pPr>
      <w:r>
        <w:rPr>
          <w:rFonts w:hint="eastAsia" w:ascii="仿宋_GB2312"/>
        </w:rPr>
        <w:t>评价组根据绩效评价的原则和规范，对项目实地调研过程中获取的数据和信息进行归纳、总结和分析，结合绩效评价指标体系对项目进行评分，并在此基础上提炼结论撰写绩效评价报告，上报委托单位。具体实施过程如下：</w:t>
      </w:r>
    </w:p>
    <w:p>
      <w:pPr>
        <w:keepNext w:val="0"/>
        <w:keepLines w:val="0"/>
        <w:pageBreakBefore w:val="0"/>
        <w:widowControl w:val="0"/>
        <w:kinsoku/>
        <w:wordWrap/>
        <w:overflowPunct/>
        <w:topLinePunct w:val="0"/>
        <w:autoSpaceDE/>
        <w:autoSpaceDN/>
        <w:bidi w:val="0"/>
        <w:adjustRightInd/>
        <w:snapToGrid/>
        <w:textAlignment w:val="auto"/>
        <w:rPr>
          <w:rFonts w:ascii="仿宋_GB2312"/>
        </w:rPr>
      </w:pPr>
      <w:r>
        <w:rPr>
          <w:rFonts w:hint="eastAsia" w:ascii="仿宋_GB2312"/>
          <w:lang w:eastAsia="zh-Hans"/>
        </w:rPr>
        <w:t>（1）</w:t>
      </w:r>
      <w:r>
        <w:rPr>
          <w:rFonts w:hint="eastAsia" w:ascii="仿宋_GB2312"/>
        </w:rPr>
        <w:t>基础数据整理和分析</w:t>
      </w:r>
    </w:p>
    <w:p>
      <w:pPr>
        <w:keepNext w:val="0"/>
        <w:keepLines w:val="0"/>
        <w:pageBreakBefore w:val="0"/>
        <w:widowControl w:val="0"/>
        <w:kinsoku/>
        <w:wordWrap/>
        <w:overflowPunct/>
        <w:topLinePunct w:val="0"/>
        <w:autoSpaceDE/>
        <w:autoSpaceDN/>
        <w:bidi w:val="0"/>
        <w:adjustRightInd/>
        <w:snapToGrid/>
        <w:textAlignment w:val="auto"/>
        <w:rPr>
          <w:rFonts w:ascii="仿宋_GB2312"/>
        </w:rPr>
      </w:pPr>
      <w:r>
        <w:rPr>
          <w:rFonts w:hint="eastAsia" w:ascii="仿宋_GB2312"/>
        </w:rPr>
        <w:t>评价组根据</w:t>
      </w:r>
      <w:r>
        <w:rPr>
          <w:rFonts w:hint="eastAsia" w:ascii="仿宋_GB2312"/>
          <w:lang w:eastAsia="zh-Hans"/>
        </w:rPr>
        <w:t>收集到的</w:t>
      </w:r>
      <w:r>
        <w:rPr>
          <w:rFonts w:hint="eastAsia" w:ascii="仿宋_GB2312"/>
        </w:rPr>
        <w:t>基础数据，对项目资金安排执行情况、项目产出目标实现情况、政府采购执行情况等数据进行整理和分析。同时，对调研过程中获得的相关材料进行归纳和总结，用以辅助指标打分和绩效评价报告的撰写。</w:t>
      </w:r>
    </w:p>
    <w:p>
      <w:pPr>
        <w:keepNext w:val="0"/>
        <w:keepLines w:val="0"/>
        <w:pageBreakBefore w:val="0"/>
        <w:widowControl w:val="0"/>
        <w:kinsoku/>
        <w:wordWrap/>
        <w:overflowPunct/>
        <w:topLinePunct w:val="0"/>
        <w:autoSpaceDE/>
        <w:autoSpaceDN/>
        <w:bidi w:val="0"/>
        <w:adjustRightInd/>
        <w:snapToGrid/>
        <w:textAlignment w:val="auto"/>
        <w:rPr>
          <w:rFonts w:ascii="仿宋_GB2312"/>
        </w:rPr>
      </w:pPr>
      <w:r>
        <w:rPr>
          <w:rFonts w:hint="eastAsia" w:ascii="仿宋_GB2312"/>
          <w:lang w:eastAsia="zh-Hans"/>
        </w:rPr>
        <w:t>（2）</w:t>
      </w:r>
      <w:r>
        <w:rPr>
          <w:rFonts w:hint="eastAsia" w:ascii="仿宋_GB2312"/>
        </w:rPr>
        <w:t>指标评分</w:t>
      </w:r>
    </w:p>
    <w:p>
      <w:pPr>
        <w:keepNext w:val="0"/>
        <w:keepLines w:val="0"/>
        <w:pageBreakBefore w:val="0"/>
        <w:widowControl w:val="0"/>
        <w:kinsoku/>
        <w:wordWrap/>
        <w:overflowPunct/>
        <w:topLinePunct w:val="0"/>
        <w:autoSpaceDE/>
        <w:autoSpaceDN/>
        <w:bidi w:val="0"/>
        <w:adjustRightInd/>
        <w:snapToGrid/>
        <w:textAlignment w:val="auto"/>
        <w:rPr>
          <w:rFonts w:ascii="仿宋_GB2312"/>
        </w:rPr>
      </w:pPr>
      <w:r>
        <w:rPr>
          <w:rFonts w:hint="eastAsia" w:ascii="仿宋_GB2312"/>
        </w:rPr>
        <w:t>评价组根据收集和整理的基础数据，对比工作方案中制定的绩效评价指标体系，根据评分标准对各项指标进行打分，并制定综合评分表和评价底稿，对指标体系中的得分和扣分情况进行说明。</w:t>
      </w:r>
    </w:p>
    <w:p>
      <w:pPr>
        <w:keepNext w:val="0"/>
        <w:keepLines w:val="0"/>
        <w:pageBreakBefore w:val="0"/>
        <w:widowControl w:val="0"/>
        <w:kinsoku/>
        <w:wordWrap/>
        <w:overflowPunct/>
        <w:topLinePunct w:val="0"/>
        <w:autoSpaceDE/>
        <w:autoSpaceDN/>
        <w:bidi w:val="0"/>
        <w:adjustRightInd/>
        <w:snapToGrid/>
        <w:textAlignment w:val="auto"/>
        <w:rPr>
          <w:rFonts w:ascii="仿宋_GB2312"/>
        </w:rPr>
      </w:pPr>
      <w:r>
        <w:rPr>
          <w:rFonts w:hint="eastAsia" w:ascii="仿宋_GB2312"/>
          <w:lang w:eastAsia="zh-Hans"/>
        </w:rPr>
        <w:t>（</w:t>
      </w:r>
      <w:r>
        <w:rPr>
          <w:rFonts w:hint="eastAsia" w:ascii="仿宋_GB2312"/>
        </w:rPr>
        <w:t>3</w:t>
      </w:r>
      <w:r>
        <w:rPr>
          <w:rFonts w:hint="eastAsia" w:ascii="仿宋_GB2312"/>
          <w:lang w:eastAsia="zh-Hans"/>
        </w:rPr>
        <w:t>）</w:t>
      </w:r>
      <w:r>
        <w:rPr>
          <w:rFonts w:hint="eastAsia" w:ascii="仿宋_GB2312"/>
        </w:rPr>
        <w:t>撰写绩效评价报告</w:t>
      </w:r>
    </w:p>
    <w:p>
      <w:pPr>
        <w:keepNext w:val="0"/>
        <w:keepLines w:val="0"/>
        <w:pageBreakBefore w:val="0"/>
        <w:widowControl w:val="0"/>
        <w:kinsoku/>
        <w:wordWrap/>
        <w:overflowPunct/>
        <w:topLinePunct w:val="0"/>
        <w:autoSpaceDE/>
        <w:autoSpaceDN/>
        <w:bidi w:val="0"/>
        <w:adjustRightInd/>
        <w:snapToGrid/>
        <w:textAlignment w:val="auto"/>
        <w:rPr>
          <w:rFonts w:ascii="仿宋_GB2312"/>
        </w:rPr>
      </w:pPr>
      <w:r>
        <w:rPr>
          <w:rFonts w:hint="eastAsia" w:ascii="仿宋_GB2312"/>
        </w:rPr>
        <w:t>综合基础数据和综合评分表，结合现场核查情况，依据评价指标体系进行打分，分析得失分原因，完成绩效评价报告的撰写。</w:t>
      </w:r>
      <w:bookmarkStart w:id="72" w:name="_Toc454544367"/>
      <w:bookmarkEnd w:id="72"/>
      <w:bookmarkStart w:id="73" w:name="_Toc448478649"/>
      <w:bookmarkEnd w:id="73"/>
      <w:bookmarkStart w:id="74" w:name="_Toc374101376"/>
      <w:bookmarkEnd w:id="74"/>
      <w:bookmarkStart w:id="75" w:name="_Toc419452332"/>
      <w:bookmarkEnd w:id="75"/>
      <w:bookmarkStart w:id="76" w:name="_Toc395253808"/>
      <w:bookmarkEnd w:id="76"/>
      <w:bookmarkStart w:id="77" w:name="_Toc14373"/>
      <w:bookmarkEnd w:id="77"/>
    </w:p>
    <w:p>
      <w:pPr>
        <w:pStyle w:val="7"/>
        <w:keepNext w:val="0"/>
        <w:keepLines w:val="0"/>
        <w:pageBreakBefore w:val="0"/>
        <w:widowControl w:val="0"/>
        <w:kinsoku/>
        <w:wordWrap/>
        <w:overflowPunct/>
        <w:topLinePunct w:val="0"/>
        <w:autoSpaceDE/>
        <w:autoSpaceDN/>
        <w:bidi w:val="0"/>
        <w:adjustRightInd/>
        <w:snapToGrid/>
        <w:textAlignment w:val="auto"/>
        <w:outlineLvl w:val="0"/>
        <w:rPr>
          <w:rFonts w:hint="eastAsia" w:ascii="黑体" w:hAnsi="黑体" w:eastAsia="黑体" w:cs="Times New Roman"/>
          <w:bCs/>
        </w:rPr>
      </w:pPr>
      <w:bookmarkStart w:id="78" w:name="_Toc31388"/>
      <w:r>
        <w:rPr>
          <w:rFonts w:hint="eastAsia" w:ascii="黑体" w:hAnsi="黑体" w:eastAsia="黑体" w:cs="Times New Roman"/>
          <w:bCs/>
        </w:rPr>
        <w:t>三、综合评价情况及评价结论（附相关评分表）</w:t>
      </w:r>
      <w:bookmarkEnd w:id="78"/>
    </w:p>
    <w:p>
      <w:pPr>
        <w:keepNext w:val="0"/>
        <w:keepLines w:val="0"/>
        <w:pageBreakBefore w:val="0"/>
        <w:widowControl w:val="0"/>
        <w:kinsoku/>
        <w:wordWrap/>
        <w:overflowPunct/>
        <w:topLinePunct w:val="0"/>
        <w:autoSpaceDE/>
        <w:autoSpaceDN/>
        <w:bidi w:val="0"/>
        <w:adjustRightInd/>
        <w:snapToGrid/>
        <w:textAlignment w:val="auto"/>
        <w:rPr>
          <w:rFonts w:ascii="仿宋_GB2312"/>
        </w:rPr>
      </w:pPr>
      <w:r>
        <w:rPr>
          <w:rFonts w:hint="eastAsia" w:ascii="仿宋_GB2312"/>
          <w:lang w:eastAsia="zh-Hans"/>
        </w:rPr>
        <w:t>评价组</w:t>
      </w:r>
      <w:r>
        <w:rPr>
          <w:rFonts w:hint="eastAsia" w:ascii="仿宋_GB2312"/>
        </w:rPr>
        <w:t>坚持评估资料的真实性、全面性、多样性和具体分析的客观性、可比性、科学性等原则，</w:t>
      </w:r>
      <w:r>
        <w:rPr>
          <w:rFonts w:hint="eastAsia" w:ascii="仿宋_GB2312"/>
          <w:lang w:eastAsia="zh-Hans"/>
        </w:rPr>
        <w:t>并</w:t>
      </w:r>
      <w:r>
        <w:rPr>
          <w:rFonts w:hint="eastAsia" w:ascii="仿宋_GB2312"/>
        </w:rPr>
        <w:t>运用比较法、成本效益分析法、统计抽样分析法等具体方法</w:t>
      </w:r>
      <w:r>
        <w:rPr>
          <w:rFonts w:hint="eastAsia" w:ascii="仿宋_GB2312"/>
          <w:lang w:eastAsia="zh-Hans"/>
        </w:rPr>
        <w:t>，结合现场核查、访谈等调研情况，对项目进行了综合评价，尽可能</w:t>
      </w:r>
      <w:r>
        <w:rPr>
          <w:rFonts w:hint="eastAsia" w:ascii="仿宋_GB2312"/>
        </w:rPr>
        <w:t>客观、公正、真实、准确地反映出财政支出的实际效果</w:t>
      </w:r>
      <w:r>
        <w:rPr>
          <w:rFonts w:hint="eastAsia" w:ascii="仿宋_GB2312"/>
          <w:lang w:eastAsia="zh-Hans"/>
        </w:rPr>
        <w:t>。初步结论如下：</w:t>
      </w:r>
    </w:p>
    <w:p>
      <w:pPr>
        <w:keepNext w:val="0"/>
        <w:keepLines w:val="0"/>
        <w:pageBreakBefore w:val="0"/>
        <w:widowControl w:val="0"/>
        <w:kinsoku/>
        <w:wordWrap/>
        <w:overflowPunct/>
        <w:topLinePunct w:val="0"/>
        <w:autoSpaceDE/>
        <w:autoSpaceDN/>
        <w:bidi w:val="0"/>
        <w:adjustRightInd/>
        <w:snapToGrid/>
        <w:textAlignment w:val="auto"/>
        <w:rPr>
          <w:rFonts w:ascii="仿宋_GB2312"/>
        </w:rPr>
      </w:pPr>
      <w:r>
        <w:rPr>
          <w:rFonts w:hint="eastAsia" w:ascii="仿宋_GB2312"/>
        </w:rPr>
        <w:t>项目资金财政支出综合得分为97.50分，绩效级别评定为“优”。</w:t>
      </w:r>
    </w:p>
    <w:p>
      <w:pPr>
        <w:pStyle w:val="16"/>
        <w:ind w:left="0" w:leftChars="0" w:firstLine="0" w:firstLineChars="0"/>
        <w:jc w:val="center"/>
        <w:rPr>
          <w:rFonts w:ascii="仿宋_GB2312"/>
          <w:b/>
          <w:bCs/>
          <w:sz w:val="28"/>
          <w:szCs w:val="22"/>
          <w:lang w:eastAsia="zh-Hans"/>
        </w:rPr>
      </w:pPr>
      <w:r>
        <w:rPr>
          <w:rFonts w:hint="eastAsia" w:ascii="仿宋_GB2312"/>
          <w:b/>
          <w:bCs/>
          <w:sz w:val="28"/>
          <w:szCs w:val="22"/>
          <w:lang w:eastAsia="zh-Hans"/>
        </w:rPr>
        <w:t>综合评分表</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93"/>
        <w:gridCol w:w="2114"/>
        <w:gridCol w:w="2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2518" w:type="pct"/>
            <w:tcBorders>
              <w:bottom w:val="single" w:color="auto" w:sz="4" w:space="0"/>
              <w:right w:val="single" w:color="auto" w:sz="4" w:space="0"/>
            </w:tcBorders>
            <w:vAlign w:val="center"/>
          </w:tcPr>
          <w:p>
            <w:pPr>
              <w:spacing w:line="440" w:lineRule="exact"/>
              <w:ind w:firstLine="0" w:firstLineChars="0"/>
              <w:jc w:val="center"/>
              <w:rPr>
                <w:rFonts w:ascii="仿宋_GB2312"/>
                <w:b/>
                <w:sz w:val="24"/>
              </w:rPr>
            </w:pPr>
            <w:r>
              <w:rPr>
                <w:rFonts w:hint="eastAsia" w:ascii="仿宋_GB2312"/>
                <w:b/>
                <w:sz w:val="24"/>
              </w:rPr>
              <w:t>评价指标</w:t>
            </w:r>
          </w:p>
        </w:tc>
        <w:tc>
          <w:tcPr>
            <w:tcW w:w="1240" w:type="pct"/>
            <w:tcBorders>
              <w:left w:val="single" w:color="auto" w:sz="4" w:space="0"/>
              <w:bottom w:val="single" w:color="auto" w:sz="4" w:space="0"/>
              <w:right w:val="single" w:color="auto" w:sz="4" w:space="0"/>
            </w:tcBorders>
            <w:vAlign w:val="center"/>
          </w:tcPr>
          <w:p>
            <w:pPr>
              <w:spacing w:line="440" w:lineRule="exact"/>
              <w:ind w:firstLine="0" w:firstLineChars="0"/>
              <w:jc w:val="center"/>
              <w:rPr>
                <w:rFonts w:ascii="仿宋_GB2312"/>
                <w:b/>
                <w:sz w:val="24"/>
              </w:rPr>
            </w:pPr>
            <w:r>
              <w:rPr>
                <w:rFonts w:hint="eastAsia" w:ascii="仿宋_GB2312"/>
                <w:b/>
                <w:sz w:val="24"/>
              </w:rPr>
              <w:t>分值</w:t>
            </w:r>
          </w:p>
        </w:tc>
        <w:tc>
          <w:tcPr>
            <w:tcW w:w="1242" w:type="pct"/>
            <w:tcBorders>
              <w:left w:val="single" w:color="auto" w:sz="4" w:space="0"/>
              <w:bottom w:val="single" w:color="auto" w:sz="4" w:space="0"/>
            </w:tcBorders>
            <w:vAlign w:val="center"/>
          </w:tcPr>
          <w:p>
            <w:pPr>
              <w:spacing w:line="440" w:lineRule="exact"/>
              <w:ind w:firstLine="0" w:firstLineChars="0"/>
              <w:jc w:val="center"/>
              <w:rPr>
                <w:rFonts w:ascii="仿宋_GB2312"/>
                <w:b/>
                <w:sz w:val="24"/>
              </w:rPr>
            </w:pPr>
            <w:r>
              <w:rPr>
                <w:rFonts w:hint="eastAsia" w:ascii="仿宋_GB2312"/>
                <w:b/>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518" w:type="pct"/>
            <w:tcBorders>
              <w:top w:val="single" w:color="auto" w:sz="4" w:space="0"/>
              <w:bottom w:val="single" w:color="auto" w:sz="4" w:space="0"/>
              <w:right w:val="single" w:color="auto" w:sz="4" w:space="0"/>
            </w:tcBorders>
            <w:vAlign w:val="center"/>
          </w:tcPr>
          <w:p>
            <w:pPr>
              <w:spacing w:line="440" w:lineRule="exact"/>
              <w:ind w:firstLine="0" w:firstLineChars="0"/>
              <w:jc w:val="center"/>
              <w:rPr>
                <w:rFonts w:ascii="仿宋_GB2312"/>
                <w:sz w:val="24"/>
              </w:rPr>
            </w:pPr>
            <w:r>
              <w:rPr>
                <w:rFonts w:hint="eastAsia" w:ascii="仿宋_GB2312"/>
                <w:sz w:val="24"/>
              </w:rPr>
              <w:t>决策</w:t>
            </w:r>
          </w:p>
        </w:tc>
        <w:tc>
          <w:tcPr>
            <w:tcW w:w="1240" w:type="pct"/>
            <w:tcBorders>
              <w:top w:val="single" w:color="auto" w:sz="4" w:space="0"/>
              <w:left w:val="single" w:color="auto" w:sz="4" w:space="0"/>
              <w:bottom w:val="single" w:color="auto" w:sz="4" w:space="0"/>
              <w:right w:val="single" w:color="auto" w:sz="4" w:space="0"/>
            </w:tcBorders>
            <w:vAlign w:val="center"/>
          </w:tcPr>
          <w:p>
            <w:pPr>
              <w:spacing w:line="440" w:lineRule="exact"/>
              <w:ind w:firstLine="0" w:firstLineChars="0"/>
              <w:jc w:val="center"/>
              <w:rPr>
                <w:rFonts w:ascii="仿宋_GB2312"/>
                <w:sz w:val="24"/>
              </w:rPr>
            </w:pPr>
            <w:r>
              <w:rPr>
                <w:rFonts w:hint="eastAsia" w:ascii="仿宋_GB2312"/>
                <w:sz w:val="24"/>
              </w:rPr>
              <w:t>16</w:t>
            </w:r>
          </w:p>
        </w:tc>
        <w:tc>
          <w:tcPr>
            <w:tcW w:w="1242" w:type="pct"/>
            <w:tcBorders>
              <w:top w:val="single" w:color="auto" w:sz="4" w:space="0"/>
              <w:left w:val="single" w:color="auto" w:sz="4" w:space="0"/>
              <w:bottom w:val="single" w:color="auto" w:sz="4" w:space="0"/>
            </w:tcBorders>
            <w:vAlign w:val="center"/>
          </w:tcPr>
          <w:p>
            <w:pPr>
              <w:spacing w:line="440" w:lineRule="exact"/>
              <w:ind w:firstLine="0" w:firstLineChars="0"/>
              <w:jc w:val="center"/>
              <w:rPr>
                <w:rFonts w:ascii="仿宋_GB2312"/>
                <w:sz w:val="24"/>
              </w:rPr>
            </w:pPr>
            <w:r>
              <w:rPr>
                <w:rFonts w:hint="eastAsia" w:ascii="仿宋_GB2312"/>
                <w:sz w:val="24"/>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518" w:type="pct"/>
            <w:tcBorders>
              <w:top w:val="single" w:color="auto" w:sz="4" w:space="0"/>
              <w:bottom w:val="single" w:color="auto" w:sz="4" w:space="0"/>
              <w:right w:val="single" w:color="auto" w:sz="4" w:space="0"/>
            </w:tcBorders>
            <w:vAlign w:val="center"/>
          </w:tcPr>
          <w:p>
            <w:pPr>
              <w:spacing w:line="440" w:lineRule="exact"/>
              <w:ind w:firstLine="0" w:firstLineChars="0"/>
              <w:jc w:val="center"/>
              <w:rPr>
                <w:rFonts w:ascii="仿宋_GB2312"/>
                <w:sz w:val="24"/>
              </w:rPr>
            </w:pPr>
            <w:r>
              <w:rPr>
                <w:rFonts w:hint="eastAsia" w:ascii="仿宋_GB2312"/>
                <w:sz w:val="24"/>
              </w:rPr>
              <w:t>过程</w:t>
            </w:r>
          </w:p>
        </w:tc>
        <w:tc>
          <w:tcPr>
            <w:tcW w:w="1240" w:type="pct"/>
            <w:tcBorders>
              <w:top w:val="single" w:color="auto" w:sz="4" w:space="0"/>
              <w:left w:val="single" w:color="auto" w:sz="4" w:space="0"/>
              <w:bottom w:val="single" w:color="auto" w:sz="4" w:space="0"/>
              <w:right w:val="single" w:color="auto" w:sz="4" w:space="0"/>
            </w:tcBorders>
            <w:vAlign w:val="center"/>
          </w:tcPr>
          <w:p>
            <w:pPr>
              <w:spacing w:line="440" w:lineRule="exact"/>
              <w:ind w:firstLine="0" w:firstLineChars="0"/>
              <w:jc w:val="center"/>
              <w:rPr>
                <w:rFonts w:ascii="仿宋_GB2312"/>
                <w:sz w:val="24"/>
              </w:rPr>
            </w:pPr>
            <w:r>
              <w:rPr>
                <w:rFonts w:hint="eastAsia" w:ascii="仿宋_GB2312"/>
                <w:sz w:val="24"/>
              </w:rPr>
              <w:t>24</w:t>
            </w:r>
          </w:p>
        </w:tc>
        <w:tc>
          <w:tcPr>
            <w:tcW w:w="1242" w:type="pct"/>
            <w:tcBorders>
              <w:top w:val="single" w:color="auto" w:sz="4" w:space="0"/>
              <w:left w:val="single" w:color="auto" w:sz="4" w:space="0"/>
              <w:bottom w:val="single" w:color="auto" w:sz="4" w:space="0"/>
            </w:tcBorders>
            <w:vAlign w:val="center"/>
          </w:tcPr>
          <w:p>
            <w:pPr>
              <w:spacing w:line="440" w:lineRule="exact"/>
              <w:ind w:firstLine="0" w:firstLineChars="0"/>
              <w:jc w:val="center"/>
              <w:rPr>
                <w:rFonts w:ascii="仿宋_GB2312"/>
                <w:sz w:val="24"/>
              </w:rPr>
            </w:pPr>
            <w:r>
              <w:rPr>
                <w:rFonts w:hint="eastAsia" w:ascii="仿宋_GB2312"/>
                <w:sz w:val="24"/>
              </w:rPr>
              <w:t>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518" w:type="pct"/>
            <w:tcBorders>
              <w:top w:val="single" w:color="auto" w:sz="4" w:space="0"/>
              <w:bottom w:val="single" w:color="auto" w:sz="4" w:space="0"/>
              <w:right w:val="single" w:color="auto" w:sz="4" w:space="0"/>
            </w:tcBorders>
            <w:vAlign w:val="center"/>
          </w:tcPr>
          <w:p>
            <w:pPr>
              <w:spacing w:line="440" w:lineRule="exact"/>
              <w:ind w:firstLine="0" w:firstLineChars="0"/>
              <w:jc w:val="center"/>
              <w:rPr>
                <w:rFonts w:ascii="仿宋_GB2312"/>
                <w:sz w:val="24"/>
              </w:rPr>
            </w:pPr>
            <w:r>
              <w:rPr>
                <w:rFonts w:hint="eastAsia" w:ascii="仿宋_GB2312"/>
                <w:sz w:val="24"/>
              </w:rPr>
              <w:t>产出</w:t>
            </w:r>
          </w:p>
        </w:tc>
        <w:tc>
          <w:tcPr>
            <w:tcW w:w="1240" w:type="pct"/>
            <w:tcBorders>
              <w:top w:val="single" w:color="auto" w:sz="4" w:space="0"/>
              <w:left w:val="single" w:color="auto" w:sz="4" w:space="0"/>
              <w:bottom w:val="single" w:color="auto" w:sz="4" w:space="0"/>
              <w:right w:val="single" w:color="auto" w:sz="4" w:space="0"/>
            </w:tcBorders>
            <w:vAlign w:val="center"/>
          </w:tcPr>
          <w:p>
            <w:pPr>
              <w:spacing w:line="440" w:lineRule="exact"/>
              <w:ind w:firstLine="0" w:firstLineChars="0"/>
              <w:jc w:val="center"/>
              <w:rPr>
                <w:rFonts w:ascii="仿宋_GB2312"/>
                <w:sz w:val="24"/>
              </w:rPr>
            </w:pPr>
            <w:r>
              <w:rPr>
                <w:rFonts w:hint="eastAsia" w:ascii="仿宋_GB2312"/>
                <w:sz w:val="24"/>
              </w:rPr>
              <w:t>30</w:t>
            </w:r>
          </w:p>
        </w:tc>
        <w:tc>
          <w:tcPr>
            <w:tcW w:w="1242" w:type="pct"/>
            <w:tcBorders>
              <w:top w:val="single" w:color="auto" w:sz="4" w:space="0"/>
              <w:left w:val="single" w:color="auto" w:sz="4" w:space="0"/>
              <w:bottom w:val="single" w:color="auto" w:sz="4" w:space="0"/>
            </w:tcBorders>
            <w:vAlign w:val="center"/>
          </w:tcPr>
          <w:p>
            <w:pPr>
              <w:spacing w:line="440" w:lineRule="exact"/>
              <w:ind w:firstLine="0" w:firstLineChars="0"/>
              <w:jc w:val="center"/>
              <w:rPr>
                <w:rFonts w:ascii="仿宋_GB2312"/>
                <w:sz w:val="24"/>
              </w:rPr>
            </w:pPr>
            <w:r>
              <w:rPr>
                <w:rFonts w:hint="eastAsia" w:ascii="仿宋_GB2312"/>
                <w:sz w:val="24"/>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518" w:type="pct"/>
            <w:tcBorders>
              <w:top w:val="single" w:color="auto" w:sz="4" w:space="0"/>
              <w:bottom w:val="single" w:color="auto" w:sz="4" w:space="0"/>
              <w:right w:val="single" w:color="auto" w:sz="4" w:space="0"/>
            </w:tcBorders>
            <w:vAlign w:val="center"/>
          </w:tcPr>
          <w:p>
            <w:pPr>
              <w:spacing w:line="440" w:lineRule="exact"/>
              <w:ind w:firstLine="0" w:firstLineChars="0"/>
              <w:jc w:val="center"/>
              <w:rPr>
                <w:rFonts w:ascii="仿宋_GB2312"/>
                <w:sz w:val="24"/>
              </w:rPr>
            </w:pPr>
            <w:r>
              <w:rPr>
                <w:rFonts w:hint="eastAsia" w:ascii="仿宋_GB2312"/>
                <w:sz w:val="24"/>
              </w:rPr>
              <w:t>效益</w:t>
            </w:r>
          </w:p>
        </w:tc>
        <w:tc>
          <w:tcPr>
            <w:tcW w:w="1240" w:type="pct"/>
            <w:tcBorders>
              <w:top w:val="single" w:color="auto" w:sz="4" w:space="0"/>
              <w:left w:val="single" w:color="auto" w:sz="4" w:space="0"/>
              <w:bottom w:val="single" w:color="auto" w:sz="4" w:space="0"/>
              <w:right w:val="single" w:color="auto" w:sz="4" w:space="0"/>
            </w:tcBorders>
            <w:vAlign w:val="center"/>
          </w:tcPr>
          <w:p>
            <w:pPr>
              <w:spacing w:line="440" w:lineRule="exact"/>
              <w:ind w:firstLine="0" w:firstLineChars="0"/>
              <w:jc w:val="center"/>
              <w:rPr>
                <w:rFonts w:ascii="仿宋_GB2312"/>
                <w:sz w:val="24"/>
              </w:rPr>
            </w:pPr>
            <w:r>
              <w:rPr>
                <w:rFonts w:hint="eastAsia" w:ascii="仿宋_GB2312"/>
                <w:sz w:val="24"/>
              </w:rPr>
              <w:t>30</w:t>
            </w:r>
          </w:p>
        </w:tc>
        <w:tc>
          <w:tcPr>
            <w:tcW w:w="1242" w:type="pct"/>
            <w:tcBorders>
              <w:top w:val="single" w:color="auto" w:sz="4" w:space="0"/>
              <w:left w:val="single" w:color="auto" w:sz="4" w:space="0"/>
              <w:bottom w:val="single" w:color="auto" w:sz="4" w:space="0"/>
            </w:tcBorders>
            <w:vAlign w:val="center"/>
          </w:tcPr>
          <w:p>
            <w:pPr>
              <w:spacing w:line="440" w:lineRule="exact"/>
              <w:ind w:firstLine="0" w:firstLineChars="0"/>
              <w:jc w:val="center"/>
              <w:rPr>
                <w:rFonts w:ascii="仿宋_GB2312"/>
                <w:sz w:val="24"/>
              </w:rPr>
            </w:pPr>
            <w:r>
              <w:rPr>
                <w:rFonts w:hint="eastAsia" w:ascii="仿宋_GB2312"/>
                <w:sz w:val="24"/>
              </w:rPr>
              <w:t>28.50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518" w:type="pct"/>
            <w:tcBorders>
              <w:top w:val="single" w:color="auto" w:sz="4" w:space="0"/>
              <w:bottom w:val="single" w:color="auto" w:sz="4" w:space="0"/>
              <w:right w:val="single" w:color="auto" w:sz="4" w:space="0"/>
            </w:tcBorders>
            <w:vAlign w:val="center"/>
          </w:tcPr>
          <w:p>
            <w:pPr>
              <w:spacing w:line="440" w:lineRule="exact"/>
              <w:ind w:firstLine="0" w:firstLineChars="0"/>
              <w:jc w:val="center"/>
              <w:rPr>
                <w:rFonts w:ascii="仿宋_GB2312"/>
                <w:sz w:val="24"/>
              </w:rPr>
            </w:pPr>
            <w:r>
              <w:rPr>
                <w:rFonts w:hint="eastAsia" w:ascii="仿宋_GB2312"/>
                <w:sz w:val="24"/>
              </w:rPr>
              <w:t>综合绩效</w:t>
            </w:r>
          </w:p>
        </w:tc>
        <w:tc>
          <w:tcPr>
            <w:tcW w:w="1240" w:type="pct"/>
            <w:tcBorders>
              <w:top w:val="single" w:color="auto" w:sz="4" w:space="0"/>
              <w:left w:val="single" w:color="auto" w:sz="4" w:space="0"/>
              <w:bottom w:val="single" w:color="auto" w:sz="4" w:space="0"/>
              <w:right w:val="single" w:color="auto" w:sz="4" w:space="0"/>
            </w:tcBorders>
            <w:vAlign w:val="center"/>
          </w:tcPr>
          <w:p>
            <w:pPr>
              <w:spacing w:line="440" w:lineRule="exact"/>
              <w:ind w:firstLine="0" w:firstLineChars="0"/>
              <w:jc w:val="center"/>
              <w:rPr>
                <w:rFonts w:ascii="仿宋_GB2312"/>
                <w:sz w:val="24"/>
              </w:rPr>
            </w:pPr>
            <w:r>
              <w:rPr>
                <w:rFonts w:hint="eastAsia" w:ascii="仿宋_GB2312"/>
                <w:sz w:val="24"/>
              </w:rPr>
              <w:t>100</w:t>
            </w:r>
          </w:p>
        </w:tc>
        <w:tc>
          <w:tcPr>
            <w:tcW w:w="1242" w:type="pct"/>
            <w:tcBorders>
              <w:top w:val="single" w:color="auto" w:sz="4" w:space="0"/>
              <w:left w:val="single" w:color="auto" w:sz="4" w:space="0"/>
              <w:bottom w:val="single" w:color="auto" w:sz="4" w:space="0"/>
            </w:tcBorders>
            <w:vAlign w:val="center"/>
          </w:tcPr>
          <w:p>
            <w:pPr>
              <w:spacing w:line="440" w:lineRule="exact"/>
              <w:ind w:firstLine="0" w:firstLineChars="0"/>
              <w:jc w:val="center"/>
              <w:rPr>
                <w:rFonts w:ascii="仿宋_GB2312"/>
                <w:sz w:val="24"/>
              </w:rPr>
            </w:pPr>
            <w:bookmarkStart w:id="79" w:name="_Hlk198307873"/>
            <w:r>
              <w:rPr>
                <w:rFonts w:hint="eastAsia" w:ascii="仿宋_GB2312"/>
                <w:sz w:val="24"/>
              </w:rPr>
              <w:t>97.50</w:t>
            </w:r>
            <w:bookmarkEnd w:id="7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518" w:type="pct"/>
            <w:tcBorders>
              <w:top w:val="single" w:color="auto" w:sz="4" w:space="0"/>
              <w:right w:val="single" w:color="auto" w:sz="4" w:space="0"/>
            </w:tcBorders>
            <w:vAlign w:val="center"/>
          </w:tcPr>
          <w:p>
            <w:pPr>
              <w:spacing w:line="440" w:lineRule="exact"/>
              <w:ind w:firstLine="0" w:firstLineChars="0"/>
              <w:jc w:val="center"/>
              <w:rPr>
                <w:rFonts w:ascii="仿宋_GB2312"/>
                <w:sz w:val="24"/>
                <w:lang w:eastAsia="zh-Hans"/>
              </w:rPr>
            </w:pPr>
            <w:r>
              <w:rPr>
                <w:rFonts w:hint="eastAsia" w:ascii="仿宋_GB2312"/>
                <w:sz w:val="24"/>
                <w:lang w:eastAsia="zh-Hans"/>
              </w:rPr>
              <w:t>绩效等级</w:t>
            </w:r>
          </w:p>
        </w:tc>
        <w:tc>
          <w:tcPr>
            <w:tcW w:w="2482" w:type="pct"/>
            <w:gridSpan w:val="2"/>
            <w:tcBorders>
              <w:top w:val="single" w:color="auto" w:sz="4" w:space="0"/>
              <w:left w:val="single" w:color="auto" w:sz="4" w:space="0"/>
            </w:tcBorders>
            <w:vAlign w:val="center"/>
          </w:tcPr>
          <w:p>
            <w:pPr>
              <w:spacing w:line="440" w:lineRule="exact"/>
              <w:ind w:firstLine="0" w:firstLineChars="0"/>
              <w:jc w:val="center"/>
              <w:rPr>
                <w:rFonts w:ascii="仿宋_GB2312"/>
                <w:sz w:val="24"/>
              </w:rPr>
            </w:pPr>
            <w:r>
              <w:rPr>
                <w:rFonts w:hint="eastAsia" w:ascii="仿宋_GB2312"/>
                <w:sz w:val="24"/>
              </w:rPr>
              <w:t>优</w:t>
            </w:r>
          </w:p>
        </w:tc>
      </w:tr>
    </w:tbl>
    <w:p>
      <w:pPr>
        <w:pStyle w:val="7"/>
        <w:outlineLvl w:val="0"/>
        <w:rPr>
          <w:rFonts w:hint="eastAsia" w:ascii="黑体" w:hAnsi="黑体" w:eastAsia="黑体" w:cs="Times New Roman"/>
          <w:bCs/>
        </w:rPr>
      </w:pPr>
      <w:bookmarkStart w:id="80" w:name="_Toc2505"/>
      <w:r>
        <w:rPr>
          <w:rFonts w:hint="eastAsia" w:ascii="黑体" w:hAnsi="黑体" w:eastAsia="黑体" w:cs="Times New Roman"/>
          <w:bCs/>
        </w:rPr>
        <w:t>四、绩效评价指标分析</w:t>
      </w:r>
      <w:bookmarkEnd w:id="80"/>
    </w:p>
    <w:p>
      <w:pPr>
        <w:pStyle w:val="7"/>
        <w:ind w:firstLine="643"/>
        <w:outlineLvl w:val="1"/>
        <w:rPr>
          <w:rFonts w:ascii="楷体_GB2312" w:hAnsi="Times New Roman" w:eastAsia="楷体_GB2312" w:cs="Times New Roman"/>
          <w:b/>
          <w:bCs/>
        </w:rPr>
      </w:pPr>
      <w:bookmarkStart w:id="81" w:name="_Toc32569"/>
      <w:r>
        <w:rPr>
          <w:rFonts w:hint="eastAsia" w:ascii="楷体_GB2312" w:hAnsi="Times New Roman" w:eastAsia="楷体_GB2312" w:cs="Times New Roman"/>
          <w:b/>
          <w:bCs/>
        </w:rPr>
        <w:t>（一）项目决策情况</w:t>
      </w:r>
      <w:bookmarkEnd w:id="81"/>
    </w:p>
    <w:p>
      <w:pPr>
        <w:rPr>
          <w:rFonts w:ascii="仿宋_GB2312"/>
        </w:rPr>
      </w:pPr>
      <w:r>
        <w:rPr>
          <w:rFonts w:hint="eastAsia" w:ascii="仿宋_GB2312"/>
        </w:rPr>
        <w:t>项目决策指标从项目立项、绩效目标和资金投入三个方面对项目进行考察，项目决策类指标分值共计16分，本项目实际得分为</w:t>
      </w:r>
      <w:bookmarkStart w:id="82" w:name="_Hlk198391982"/>
      <w:r>
        <w:rPr>
          <w:rFonts w:hint="eastAsia" w:ascii="仿宋_GB2312"/>
        </w:rPr>
        <w:t>15分，得分率为93.75%</w:t>
      </w:r>
      <w:bookmarkEnd w:id="82"/>
      <w:r>
        <w:rPr>
          <w:rFonts w:hint="eastAsia" w:ascii="仿宋_GB2312"/>
        </w:rPr>
        <w:t>。各个指标的实际得分情况见下表：</w:t>
      </w:r>
    </w:p>
    <w:p>
      <w:pPr>
        <w:pStyle w:val="24"/>
        <w:ind w:firstLine="482"/>
        <w:rPr>
          <w:rFonts w:ascii="仿宋_GB2312"/>
        </w:rPr>
      </w:pPr>
      <w:r>
        <w:rPr>
          <w:rFonts w:hint="eastAsia" w:ascii="仿宋_GB2312"/>
        </w:rPr>
        <w:t>项目决策类指标得分情况表</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40"/>
        <w:gridCol w:w="1695"/>
        <w:gridCol w:w="1695"/>
        <w:gridCol w:w="1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2018" w:type="pct"/>
            <w:vAlign w:val="center"/>
          </w:tcPr>
          <w:p>
            <w:pPr>
              <w:spacing w:line="440" w:lineRule="exact"/>
              <w:ind w:firstLine="0" w:firstLineChars="0"/>
              <w:jc w:val="center"/>
              <w:rPr>
                <w:rFonts w:ascii="仿宋_GB2312"/>
                <w:b/>
                <w:bCs/>
                <w:sz w:val="24"/>
              </w:rPr>
            </w:pPr>
            <w:r>
              <w:rPr>
                <w:rFonts w:hint="eastAsia" w:ascii="仿宋_GB2312"/>
                <w:b/>
                <w:bCs/>
                <w:sz w:val="24"/>
              </w:rPr>
              <w:t>评价指标</w:t>
            </w:r>
          </w:p>
        </w:tc>
        <w:tc>
          <w:tcPr>
            <w:tcW w:w="994" w:type="pct"/>
            <w:vAlign w:val="center"/>
          </w:tcPr>
          <w:p>
            <w:pPr>
              <w:spacing w:line="440" w:lineRule="exact"/>
              <w:ind w:firstLine="0" w:firstLineChars="0"/>
              <w:jc w:val="center"/>
              <w:rPr>
                <w:rFonts w:ascii="仿宋_GB2312"/>
                <w:b/>
                <w:bCs/>
                <w:sz w:val="24"/>
              </w:rPr>
            </w:pPr>
            <w:r>
              <w:rPr>
                <w:rFonts w:hint="eastAsia" w:ascii="仿宋_GB2312"/>
                <w:b/>
                <w:bCs/>
                <w:sz w:val="24"/>
              </w:rPr>
              <w:t>分值</w:t>
            </w:r>
          </w:p>
        </w:tc>
        <w:tc>
          <w:tcPr>
            <w:tcW w:w="994" w:type="pct"/>
            <w:vAlign w:val="center"/>
          </w:tcPr>
          <w:p>
            <w:pPr>
              <w:spacing w:line="440" w:lineRule="exact"/>
              <w:ind w:firstLine="0" w:firstLineChars="0"/>
              <w:jc w:val="center"/>
              <w:rPr>
                <w:rFonts w:ascii="仿宋_GB2312"/>
                <w:b/>
                <w:bCs/>
                <w:sz w:val="24"/>
              </w:rPr>
            </w:pPr>
            <w:r>
              <w:rPr>
                <w:rFonts w:hint="eastAsia" w:ascii="仿宋_GB2312"/>
                <w:b/>
                <w:bCs/>
                <w:sz w:val="24"/>
              </w:rPr>
              <w:t>得分</w:t>
            </w:r>
          </w:p>
        </w:tc>
        <w:tc>
          <w:tcPr>
            <w:tcW w:w="994" w:type="pct"/>
            <w:vAlign w:val="center"/>
          </w:tcPr>
          <w:p>
            <w:pPr>
              <w:spacing w:line="440" w:lineRule="exact"/>
              <w:ind w:firstLine="0" w:firstLineChars="0"/>
              <w:jc w:val="center"/>
              <w:rPr>
                <w:rFonts w:ascii="仿宋_GB2312"/>
                <w:b/>
                <w:bCs/>
                <w:sz w:val="24"/>
              </w:rPr>
            </w:pPr>
            <w:r>
              <w:rPr>
                <w:rFonts w:hint="eastAsia" w:ascii="仿宋_GB2312"/>
                <w:b/>
                <w:bCs/>
                <w:sz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018" w:type="pct"/>
            <w:vAlign w:val="center"/>
          </w:tcPr>
          <w:p>
            <w:pPr>
              <w:spacing w:line="440" w:lineRule="exact"/>
              <w:ind w:firstLine="0" w:firstLineChars="0"/>
              <w:jc w:val="center"/>
              <w:rPr>
                <w:rFonts w:ascii="仿宋_GB2312"/>
                <w:sz w:val="24"/>
              </w:rPr>
            </w:pPr>
            <w:r>
              <w:rPr>
                <w:rFonts w:hint="eastAsia" w:ascii="仿宋_GB2312"/>
                <w:sz w:val="24"/>
              </w:rPr>
              <w:t>立项依据充分性</w:t>
            </w:r>
          </w:p>
        </w:tc>
        <w:tc>
          <w:tcPr>
            <w:tcW w:w="994" w:type="pct"/>
            <w:vAlign w:val="center"/>
          </w:tcPr>
          <w:p>
            <w:pPr>
              <w:spacing w:line="440" w:lineRule="exact"/>
              <w:ind w:firstLine="0" w:firstLineChars="0"/>
              <w:jc w:val="center"/>
              <w:rPr>
                <w:rFonts w:ascii="仿宋_GB2312"/>
                <w:sz w:val="24"/>
              </w:rPr>
            </w:pPr>
            <w:r>
              <w:rPr>
                <w:rFonts w:hint="eastAsia" w:ascii="仿宋_GB2312"/>
                <w:sz w:val="24"/>
              </w:rPr>
              <w:t>2</w:t>
            </w:r>
          </w:p>
        </w:tc>
        <w:tc>
          <w:tcPr>
            <w:tcW w:w="994" w:type="pct"/>
            <w:vAlign w:val="center"/>
          </w:tcPr>
          <w:p>
            <w:pPr>
              <w:spacing w:line="440" w:lineRule="exact"/>
              <w:ind w:firstLine="0" w:firstLineChars="0"/>
              <w:jc w:val="center"/>
              <w:rPr>
                <w:rFonts w:ascii="仿宋_GB2312"/>
                <w:sz w:val="24"/>
              </w:rPr>
            </w:pPr>
            <w:r>
              <w:rPr>
                <w:rFonts w:hint="eastAsia" w:ascii="仿宋_GB2312"/>
                <w:sz w:val="24"/>
              </w:rPr>
              <w:t>2.00</w:t>
            </w:r>
          </w:p>
        </w:tc>
        <w:tc>
          <w:tcPr>
            <w:tcW w:w="994" w:type="pct"/>
            <w:vAlign w:val="center"/>
          </w:tcPr>
          <w:p>
            <w:pPr>
              <w:spacing w:line="440" w:lineRule="exact"/>
              <w:ind w:firstLine="0" w:firstLineChars="0"/>
              <w:jc w:val="center"/>
              <w:rPr>
                <w:rFonts w:ascii="仿宋_GB2312"/>
                <w:sz w:val="24"/>
              </w:rPr>
            </w:pPr>
            <w:r>
              <w:rPr>
                <w:rFonts w:hint="eastAsia" w:ascii="仿宋_GB2312"/>
                <w:sz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018" w:type="pct"/>
            <w:vAlign w:val="center"/>
          </w:tcPr>
          <w:p>
            <w:pPr>
              <w:spacing w:line="440" w:lineRule="exact"/>
              <w:ind w:firstLine="0" w:firstLineChars="0"/>
              <w:jc w:val="center"/>
              <w:rPr>
                <w:rFonts w:ascii="仿宋_GB2312"/>
                <w:sz w:val="24"/>
              </w:rPr>
            </w:pPr>
            <w:r>
              <w:rPr>
                <w:rFonts w:hint="eastAsia" w:ascii="仿宋_GB2312"/>
                <w:sz w:val="24"/>
              </w:rPr>
              <w:t>立项程序规范性</w:t>
            </w:r>
          </w:p>
        </w:tc>
        <w:tc>
          <w:tcPr>
            <w:tcW w:w="994" w:type="pct"/>
            <w:vAlign w:val="center"/>
          </w:tcPr>
          <w:p>
            <w:pPr>
              <w:spacing w:line="440" w:lineRule="exact"/>
              <w:ind w:firstLine="0" w:firstLineChars="0"/>
              <w:jc w:val="center"/>
              <w:rPr>
                <w:rFonts w:ascii="仿宋_GB2312"/>
                <w:sz w:val="24"/>
              </w:rPr>
            </w:pPr>
            <w:r>
              <w:rPr>
                <w:rFonts w:hint="eastAsia" w:ascii="仿宋_GB2312"/>
                <w:sz w:val="24"/>
              </w:rPr>
              <w:t>2</w:t>
            </w:r>
          </w:p>
        </w:tc>
        <w:tc>
          <w:tcPr>
            <w:tcW w:w="994" w:type="pct"/>
            <w:vAlign w:val="center"/>
          </w:tcPr>
          <w:p>
            <w:pPr>
              <w:spacing w:line="440" w:lineRule="exact"/>
              <w:ind w:firstLine="0" w:firstLineChars="0"/>
              <w:jc w:val="center"/>
              <w:rPr>
                <w:rFonts w:ascii="仿宋_GB2312"/>
                <w:sz w:val="24"/>
              </w:rPr>
            </w:pPr>
            <w:r>
              <w:rPr>
                <w:rFonts w:hint="eastAsia" w:ascii="仿宋_GB2312"/>
                <w:sz w:val="24"/>
              </w:rPr>
              <w:t>2.00</w:t>
            </w:r>
          </w:p>
        </w:tc>
        <w:tc>
          <w:tcPr>
            <w:tcW w:w="994" w:type="pct"/>
            <w:vAlign w:val="center"/>
          </w:tcPr>
          <w:p>
            <w:pPr>
              <w:spacing w:line="440" w:lineRule="exact"/>
              <w:ind w:firstLine="0" w:firstLineChars="0"/>
              <w:jc w:val="center"/>
              <w:rPr>
                <w:rFonts w:ascii="仿宋_GB2312"/>
                <w:sz w:val="24"/>
              </w:rPr>
            </w:pPr>
            <w:r>
              <w:rPr>
                <w:rFonts w:hint="eastAsia" w:ascii="仿宋_GB2312"/>
                <w:sz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8" w:type="pct"/>
            <w:vAlign w:val="center"/>
          </w:tcPr>
          <w:p>
            <w:pPr>
              <w:spacing w:line="440" w:lineRule="exact"/>
              <w:ind w:firstLine="0" w:firstLineChars="0"/>
              <w:jc w:val="center"/>
              <w:rPr>
                <w:rFonts w:ascii="仿宋_GB2312"/>
                <w:sz w:val="24"/>
              </w:rPr>
            </w:pPr>
            <w:r>
              <w:rPr>
                <w:rFonts w:hint="eastAsia" w:ascii="仿宋_GB2312"/>
                <w:sz w:val="24"/>
              </w:rPr>
              <w:t>绩效目标合理性</w:t>
            </w:r>
          </w:p>
        </w:tc>
        <w:tc>
          <w:tcPr>
            <w:tcW w:w="994" w:type="pct"/>
            <w:vAlign w:val="center"/>
          </w:tcPr>
          <w:p>
            <w:pPr>
              <w:spacing w:line="440" w:lineRule="exact"/>
              <w:ind w:firstLine="0" w:firstLineChars="0"/>
              <w:jc w:val="center"/>
              <w:rPr>
                <w:rFonts w:ascii="仿宋_GB2312"/>
                <w:sz w:val="24"/>
              </w:rPr>
            </w:pPr>
            <w:r>
              <w:rPr>
                <w:rFonts w:hint="eastAsia" w:ascii="仿宋_GB2312"/>
                <w:sz w:val="24"/>
              </w:rPr>
              <w:t>2</w:t>
            </w:r>
          </w:p>
        </w:tc>
        <w:tc>
          <w:tcPr>
            <w:tcW w:w="994" w:type="pct"/>
            <w:vAlign w:val="center"/>
          </w:tcPr>
          <w:p>
            <w:pPr>
              <w:spacing w:line="440" w:lineRule="exact"/>
              <w:ind w:firstLine="0" w:firstLineChars="0"/>
              <w:jc w:val="center"/>
              <w:rPr>
                <w:rFonts w:ascii="仿宋_GB2312"/>
                <w:sz w:val="24"/>
              </w:rPr>
            </w:pPr>
            <w:r>
              <w:rPr>
                <w:rFonts w:hint="eastAsia" w:ascii="仿宋_GB2312"/>
                <w:sz w:val="24"/>
              </w:rPr>
              <w:t>1.00</w:t>
            </w:r>
          </w:p>
        </w:tc>
        <w:tc>
          <w:tcPr>
            <w:tcW w:w="994" w:type="pct"/>
            <w:vAlign w:val="center"/>
          </w:tcPr>
          <w:p>
            <w:pPr>
              <w:spacing w:line="440" w:lineRule="exact"/>
              <w:ind w:firstLine="0" w:firstLineChars="0"/>
              <w:jc w:val="center"/>
              <w:rPr>
                <w:rFonts w:ascii="仿宋_GB2312"/>
                <w:sz w:val="24"/>
              </w:rPr>
            </w:pPr>
            <w:r>
              <w:rPr>
                <w:rFonts w:hint="eastAsia" w:ascii="仿宋_GB2312"/>
                <w:sz w:val="24"/>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8" w:type="pct"/>
            <w:vAlign w:val="center"/>
          </w:tcPr>
          <w:p>
            <w:pPr>
              <w:spacing w:line="440" w:lineRule="exact"/>
              <w:ind w:firstLine="0" w:firstLineChars="0"/>
              <w:jc w:val="center"/>
              <w:rPr>
                <w:rFonts w:ascii="仿宋_GB2312"/>
                <w:sz w:val="24"/>
              </w:rPr>
            </w:pPr>
            <w:r>
              <w:rPr>
                <w:rFonts w:hint="eastAsia" w:ascii="仿宋_GB2312"/>
                <w:sz w:val="24"/>
              </w:rPr>
              <w:t>绩效指标明确性</w:t>
            </w:r>
          </w:p>
        </w:tc>
        <w:tc>
          <w:tcPr>
            <w:tcW w:w="994" w:type="pct"/>
            <w:vAlign w:val="center"/>
          </w:tcPr>
          <w:p>
            <w:pPr>
              <w:spacing w:line="440" w:lineRule="exact"/>
              <w:ind w:firstLine="0" w:firstLineChars="0"/>
              <w:jc w:val="center"/>
              <w:rPr>
                <w:rFonts w:ascii="仿宋_GB2312"/>
                <w:sz w:val="24"/>
              </w:rPr>
            </w:pPr>
            <w:r>
              <w:rPr>
                <w:rFonts w:hint="eastAsia" w:ascii="仿宋_GB2312"/>
                <w:sz w:val="24"/>
              </w:rPr>
              <w:t>2</w:t>
            </w:r>
          </w:p>
        </w:tc>
        <w:tc>
          <w:tcPr>
            <w:tcW w:w="994" w:type="pct"/>
            <w:vAlign w:val="center"/>
          </w:tcPr>
          <w:p>
            <w:pPr>
              <w:spacing w:line="440" w:lineRule="exact"/>
              <w:ind w:firstLine="0" w:firstLineChars="0"/>
              <w:jc w:val="center"/>
              <w:rPr>
                <w:rFonts w:ascii="仿宋_GB2312"/>
                <w:sz w:val="24"/>
              </w:rPr>
            </w:pPr>
            <w:r>
              <w:rPr>
                <w:rFonts w:hint="eastAsia" w:ascii="仿宋_GB2312"/>
                <w:sz w:val="24"/>
              </w:rPr>
              <w:t>2.00</w:t>
            </w:r>
          </w:p>
        </w:tc>
        <w:tc>
          <w:tcPr>
            <w:tcW w:w="994" w:type="pct"/>
            <w:vAlign w:val="center"/>
          </w:tcPr>
          <w:p>
            <w:pPr>
              <w:spacing w:line="440" w:lineRule="exact"/>
              <w:ind w:firstLine="0" w:firstLineChars="0"/>
              <w:jc w:val="center"/>
              <w:rPr>
                <w:rFonts w:ascii="仿宋_GB2312"/>
                <w:sz w:val="24"/>
              </w:rPr>
            </w:pPr>
            <w:r>
              <w:rPr>
                <w:rFonts w:hint="eastAsia" w:ascii="仿宋_GB2312"/>
                <w:sz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8" w:type="pct"/>
            <w:vAlign w:val="center"/>
          </w:tcPr>
          <w:p>
            <w:pPr>
              <w:spacing w:line="440" w:lineRule="exact"/>
              <w:ind w:firstLine="0" w:firstLineChars="0"/>
              <w:jc w:val="center"/>
              <w:rPr>
                <w:rFonts w:ascii="仿宋_GB2312"/>
                <w:sz w:val="24"/>
              </w:rPr>
            </w:pPr>
            <w:r>
              <w:rPr>
                <w:rFonts w:hint="eastAsia" w:ascii="仿宋_GB2312"/>
                <w:sz w:val="24"/>
              </w:rPr>
              <w:t>预算编制科学性</w:t>
            </w:r>
          </w:p>
        </w:tc>
        <w:tc>
          <w:tcPr>
            <w:tcW w:w="994" w:type="pct"/>
            <w:vAlign w:val="center"/>
          </w:tcPr>
          <w:p>
            <w:pPr>
              <w:spacing w:line="440" w:lineRule="exact"/>
              <w:ind w:firstLine="0" w:firstLineChars="0"/>
              <w:jc w:val="center"/>
              <w:rPr>
                <w:rFonts w:ascii="仿宋_GB2312"/>
                <w:sz w:val="24"/>
              </w:rPr>
            </w:pPr>
            <w:r>
              <w:rPr>
                <w:rFonts w:hint="eastAsia" w:ascii="仿宋_GB2312"/>
                <w:sz w:val="24"/>
              </w:rPr>
              <w:t>4</w:t>
            </w:r>
          </w:p>
        </w:tc>
        <w:tc>
          <w:tcPr>
            <w:tcW w:w="994" w:type="pct"/>
            <w:vAlign w:val="center"/>
          </w:tcPr>
          <w:p>
            <w:pPr>
              <w:spacing w:line="440" w:lineRule="exact"/>
              <w:ind w:firstLine="0" w:firstLineChars="0"/>
              <w:jc w:val="center"/>
              <w:rPr>
                <w:rFonts w:ascii="仿宋_GB2312"/>
                <w:sz w:val="24"/>
              </w:rPr>
            </w:pPr>
            <w:r>
              <w:rPr>
                <w:rFonts w:hint="eastAsia" w:ascii="仿宋_GB2312"/>
                <w:sz w:val="24"/>
              </w:rPr>
              <w:t>4.00</w:t>
            </w:r>
          </w:p>
        </w:tc>
        <w:tc>
          <w:tcPr>
            <w:tcW w:w="994" w:type="pct"/>
            <w:vAlign w:val="center"/>
          </w:tcPr>
          <w:p>
            <w:pPr>
              <w:spacing w:line="440" w:lineRule="exact"/>
              <w:ind w:firstLine="0" w:firstLineChars="0"/>
              <w:jc w:val="center"/>
              <w:rPr>
                <w:rFonts w:ascii="仿宋_GB2312"/>
                <w:sz w:val="24"/>
              </w:rPr>
            </w:pPr>
            <w:r>
              <w:rPr>
                <w:rFonts w:hint="eastAsia" w:ascii="仿宋_GB2312"/>
                <w:sz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8" w:type="pct"/>
            <w:vAlign w:val="center"/>
          </w:tcPr>
          <w:p>
            <w:pPr>
              <w:spacing w:line="440" w:lineRule="exact"/>
              <w:ind w:firstLine="0" w:firstLineChars="0"/>
              <w:jc w:val="center"/>
              <w:rPr>
                <w:rFonts w:ascii="仿宋_GB2312"/>
                <w:sz w:val="24"/>
              </w:rPr>
            </w:pPr>
            <w:r>
              <w:rPr>
                <w:rFonts w:hint="eastAsia" w:ascii="仿宋_GB2312"/>
                <w:sz w:val="24"/>
              </w:rPr>
              <w:t>资金分配合理性</w:t>
            </w:r>
          </w:p>
        </w:tc>
        <w:tc>
          <w:tcPr>
            <w:tcW w:w="994" w:type="pct"/>
            <w:vAlign w:val="center"/>
          </w:tcPr>
          <w:p>
            <w:pPr>
              <w:spacing w:line="440" w:lineRule="exact"/>
              <w:ind w:firstLine="0" w:firstLineChars="0"/>
              <w:jc w:val="center"/>
              <w:rPr>
                <w:rFonts w:ascii="仿宋_GB2312"/>
                <w:sz w:val="24"/>
              </w:rPr>
            </w:pPr>
            <w:r>
              <w:rPr>
                <w:rFonts w:hint="eastAsia" w:ascii="仿宋_GB2312"/>
                <w:sz w:val="24"/>
              </w:rPr>
              <w:t>4</w:t>
            </w:r>
          </w:p>
        </w:tc>
        <w:tc>
          <w:tcPr>
            <w:tcW w:w="994" w:type="pct"/>
            <w:vAlign w:val="center"/>
          </w:tcPr>
          <w:p>
            <w:pPr>
              <w:spacing w:line="440" w:lineRule="exact"/>
              <w:ind w:firstLine="0" w:firstLineChars="0"/>
              <w:jc w:val="center"/>
              <w:rPr>
                <w:rFonts w:ascii="仿宋_GB2312"/>
                <w:sz w:val="24"/>
              </w:rPr>
            </w:pPr>
            <w:r>
              <w:rPr>
                <w:rFonts w:hint="eastAsia" w:ascii="仿宋_GB2312"/>
                <w:sz w:val="24"/>
              </w:rPr>
              <w:t>4.00</w:t>
            </w:r>
          </w:p>
        </w:tc>
        <w:tc>
          <w:tcPr>
            <w:tcW w:w="994" w:type="pct"/>
            <w:vAlign w:val="center"/>
          </w:tcPr>
          <w:p>
            <w:pPr>
              <w:spacing w:line="440" w:lineRule="exact"/>
              <w:ind w:firstLine="0" w:firstLineChars="0"/>
              <w:jc w:val="center"/>
              <w:rPr>
                <w:rFonts w:ascii="仿宋_GB2312"/>
                <w:sz w:val="24"/>
              </w:rPr>
            </w:pPr>
            <w:r>
              <w:rPr>
                <w:rFonts w:hint="eastAsia" w:ascii="仿宋_GB2312"/>
                <w:sz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8" w:type="pct"/>
            <w:vAlign w:val="center"/>
          </w:tcPr>
          <w:p>
            <w:pPr>
              <w:spacing w:line="440" w:lineRule="exact"/>
              <w:ind w:firstLine="0" w:firstLineChars="0"/>
              <w:jc w:val="center"/>
              <w:rPr>
                <w:rFonts w:ascii="仿宋_GB2312"/>
                <w:b/>
                <w:bCs/>
                <w:sz w:val="24"/>
              </w:rPr>
            </w:pPr>
            <w:r>
              <w:rPr>
                <w:rFonts w:hint="eastAsia" w:ascii="仿宋_GB2312"/>
                <w:b/>
                <w:bCs/>
                <w:sz w:val="24"/>
              </w:rPr>
              <w:t>小计</w:t>
            </w:r>
          </w:p>
        </w:tc>
        <w:tc>
          <w:tcPr>
            <w:tcW w:w="994" w:type="pct"/>
            <w:vAlign w:val="center"/>
          </w:tcPr>
          <w:p>
            <w:pPr>
              <w:spacing w:line="440" w:lineRule="exact"/>
              <w:ind w:firstLine="0" w:firstLineChars="0"/>
              <w:jc w:val="center"/>
              <w:rPr>
                <w:rFonts w:ascii="仿宋_GB2312"/>
                <w:b/>
                <w:bCs/>
                <w:sz w:val="24"/>
              </w:rPr>
            </w:pPr>
            <w:r>
              <w:rPr>
                <w:rFonts w:hint="eastAsia" w:ascii="仿宋_GB2312"/>
                <w:b/>
                <w:bCs/>
                <w:sz w:val="24"/>
              </w:rPr>
              <w:t>16</w:t>
            </w:r>
          </w:p>
        </w:tc>
        <w:tc>
          <w:tcPr>
            <w:tcW w:w="994" w:type="pct"/>
            <w:vAlign w:val="center"/>
          </w:tcPr>
          <w:p>
            <w:pPr>
              <w:spacing w:line="440" w:lineRule="exact"/>
              <w:ind w:firstLine="0" w:firstLineChars="0"/>
              <w:jc w:val="center"/>
              <w:rPr>
                <w:rFonts w:ascii="仿宋_GB2312"/>
                <w:b/>
                <w:bCs/>
                <w:sz w:val="24"/>
              </w:rPr>
            </w:pPr>
            <w:r>
              <w:rPr>
                <w:rFonts w:hint="eastAsia" w:ascii="仿宋_GB2312"/>
                <w:b/>
                <w:bCs/>
                <w:sz w:val="24"/>
              </w:rPr>
              <w:t>15.00</w:t>
            </w:r>
          </w:p>
        </w:tc>
        <w:tc>
          <w:tcPr>
            <w:tcW w:w="994" w:type="pct"/>
            <w:vAlign w:val="center"/>
          </w:tcPr>
          <w:p>
            <w:pPr>
              <w:spacing w:line="440" w:lineRule="exact"/>
              <w:ind w:firstLine="0" w:firstLineChars="0"/>
              <w:jc w:val="center"/>
              <w:rPr>
                <w:rFonts w:ascii="仿宋_GB2312"/>
                <w:b/>
                <w:bCs/>
                <w:sz w:val="24"/>
              </w:rPr>
            </w:pPr>
            <w:r>
              <w:rPr>
                <w:rFonts w:hint="eastAsia" w:ascii="仿宋_GB2312"/>
                <w:b/>
                <w:bCs/>
                <w:sz w:val="24"/>
              </w:rPr>
              <w:t>93.75%</w:t>
            </w:r>
          </w:p>
        </w:tc>
      </w:tr>
    </w:tbl>
    <w:p>
      <w:pPr>
        <w:keepNext w:val="0"/>
        <w:keepLines w:val="0"/>
        <w:pageBreakBefore w:val="0"/>
        <w:widowControl w:val="0"/>
        <w:kinsoku/>
        <w:wordWrap/>
        <w:overflowPunct/>
        <w:topLinePunct w:val="0"/>
        <w:autoSpaceDE/>
        <w:autoSpaceDN/>
        <w:bidi w:val="0"/>
        <w:adjustRightInd/>
        <w:snapToGrid/>
        <w:ind w:firstLine="643"/>
        <w:textAlignment w:val="auto"/>
        <w:outlineLvl w:val="2"/>
        <w:rPr>
          <w:rFonts w:ascii="仿宋_GB2312"/>
          <w:b/>
          <w:bCs/>
        </w:rPr>
      </w:pPr>
      <w:bookmarkStart w:id="83" w:name="_Toc10622"/>
      <w:bookmarkStart w:id="84" w:name="_Toc31510"/>
      <w:bookmarkStart w:id="85" w:name="_Toc13472"/>
      <w:bookmarkStart w:id="86" w:name="_Toc30385"/>
      <w:bookmarkStart w:id="87" w:name="_Toc11457"/>
      <w:r>
        <w:rPr>
          <w:rFonts w:hint="eastAsia" w:ascii="仿宋_GB2312"/>
          <w:b/>
          <w:bCs/>
        </w:rPr>
        <w:t>4.1.1立项依据充分性</w:t>
      </w:r>
      <w:bookmarkEnd w:id="83"/>
      <w:bookmarkEnd w:id="84"/>
      <w:bookmarkEnd w:id="85"/>
      <w:bookmarkEnd w:id="86"/>
      <w:bookmarkEnd w:id="87"/>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指标解释：</w:t>
      </w:r>
      <w:r>
        <w:rPr>
          <w:rFonts w:hint="eastAsia" w:ascii="仿宋_GB2312"/>
        </w:rPr>
        <w:t>项目立项是否符合法律法规、相关政策、发展规划以及部门职责，用以反映和考核项目立项依据情况。</w:t>
      </w:r>
    </w:p>
    <w:p>
      <w:pPr>
        <w:pStyle w:val="16"/>
        <w:keepNext w:val="0"/>
        <w:keepLines w:val="0"/>
        <w:pageBreakBefore w:val="0"/>
        <w:widowControl w:val="0"/>
        <w:kinsoku/>
        <w:wordWrap/>
        <w:overflowPunct/>
        <w:topLinePunct w:val="0"/>
        <w:autoSpaceDE/>
        <w:autoSpaceDN/>
        <w:bidi w:val="0"/>
        <w:adjustRightInd/>
        <w:snapToGrid/>
        <w:spacing w:after="0"/>
        <w:ind w:left="0" w:leftChars="0" w:firstLine="643"/>
        <w:textAlignment w:val="auto"/>
        <w:rPr>
          <w:rFonts w:ascii="仿宋_GB2312"/>
        </w:rPr>
      </w:pPr>
      <w:r>
        <w:rPr>
          <w:rFonts w:hint="eastAsia" w:ascii="仿宋_GB2312"/>
          <w:b/>
          <w:bCs/>
        </w:rPr>
        <w:t>评价要点：</w:t>
      </w:r>
      <w:r>
        <w:rPr>
          <w:rFonts w:hint="eastAsia" w:ascii="仿宋_GB2312"/>
        </w:rPr>
        <w:t>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重复。</w:t>
      </w:r>
    </w:p>
    <w:p>
      <w:pPr>
        <w:pStyle w:val="16"/>
        <w:keepNext w:val="0"/>
        <w:keepLines w:val="0"/>
        <w:pageBreakBefore w:val="0"/>
        <w:widowControl w:val="0"/>
        <w:kinsoku/>
        <w:wordWrap/>
        <w:overflowPunct/>
        <w:topLinePunct w:val="0"/>
        <w:autoSpaceDE/>
        <w:autoSpaceDN/>
        <w:bidi w:val="0"/>
        <w:adjustRightInd/>
        <w:snapToGrid/>
        <w:spacing w:after="0"/>
        <w:ind w:left="0" w:leftChars="0" w:firstLine="643"/>
        <w:textAlignment w:val="auto"/>
        <w:rPr>
          <w:rFonts w:ascii="仿宋_GB2312"/>
        </w:rPr>
      </w:pPr>
      <w:r>
        <w:rPr>
          <w:rFonts w:hint="eastAsia" w:ascii="仿宋_GB2312"/>
          <w:b/>
          <w:bCs/>
        </w:rPr>
        <w:t>评分标准：</w:t>
      </w:r>
      <w:r>
        <w:rPr>
          <w:rFonts w:hint="eastAsia" w:ascii="仿宋_GB2312"/>
        </w:rPr>
        <w:t>满足一项得20%权重分。</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绩效分析：</w:t>
      </w:r>
      <w:r>
        <w:rPr>
          <w:rFonts w:hint="eastAsia" w:ascii="仿宋_GB2312"/>
        </w:rPr>
        <w:t>根据</w:t>
      </w:r>
      <w:r>
        <w:rPr>
          <w:rFonts w:hint="eastAsia" w:ascii="仿宋_GB2312" w:cs="仿宋_GB2312"/>
          <w:kern w:val="0"/>
          <w:szCs w:val="32"/>
        </w:rPr>
        <w:t>《海南省发展和改革委员会关于批复省道</w:t>
      </w:r>
      <w:r>
        <w:rPr>
          <w:rFonts w:hint="eastAsia" w:ascii="仿宋_GB2312"/>
          <w:kern w:val="0"/>
          <w:szCs w:val="32"/>
        </w:rPr>
        <w:t>S303</w:t>
      </w:r>
      <w:r>
        <w:rPr>
          <w:rFonts w:hint="eastAsia" w:ascii="仿宋_GB2312" w:cs="仿宋_GB2312"/>
          <w:kern w:val="0"/>
          <w:szCs w:val="32"/>
        </w:rPr>
        <w:t>屯大线雨水岭大道至大拉段改建工程初步设计及概算的函》（琼发改审批函</w:t>
      </w:r>
      <w:r>
        <w:rPr>
          <w:rFonts w:hint="eastAsia" w:ascii="仿宋_GB2312"/>
          <w:kern w:val="0"/>
          <w:szCs w:val="32"/>
        </w:rPr>
        <w:t>〔2023〕415</w:t>
      </w:r>
      <w:r>
        <w:rPr>
          <w:rFonts w:hint="eastAsia" w:ascii="仿宋_GB2312" w:cs="仿宋_GB2312"/>
          <w:kern w:val="0"/>
          <w:szCs w:val="32"/>
        </w:rPr>
        <w:t>号）</w:t>
      </w:r>
      <w:r>
        <w:rPr>
          <w:rFonts w:hint="eastAsia" w:ascii="仿宋_GB2312"/>
        </w:rPr>
        <w:t>，</w:t>
      </w:r>
      <w:r>
        <w:rPr>
          <w:rFonts w:hint="eastAsia" w:ascii="仿宋_GB2312" w:cs="仿宋_GB2312"/>
          <w:kern w:val="0"/>
          <w:szCs w:val="32"/>
        </w:rPr>
        <w:t>省道</w:t>
      </w:r>
      <w:r>
        <w:rPr>
          <w:rFonts w:hint="eastAsia" w:ascii="仿宋_GB2312"/>
          <w:kern w:val="0"/>
          <w:szCs w:val="32"/>
        </w:rPr>
        <w:t>S303</w:t>
      </w:r>
      <w:r>
        <w:rPr>
          <w:rFonts w:hint="eastAsia" w:ascii="仿宋_GB2312" w:cs="仿宋_GB2312"/>
          <w:kern w:val="0"/>
          <w:szCs w:val="32"/>
        </w:rPr>
        <w:t>屯大线雨水岭大道至大拉段改建工程</w:t>
      </w:r>
      <w:r>
        <w:rPr>
          <w:rFonts w:hint="eastAsia" w:ascii="仿宋_GB2312"/>
        </w:rPr>
        <w:t>项目的建设，是海南省交通主干线路网的重要组成部分，项目连接屯昌县、澄迈县各乡镇，是琼北地区之间往来的重要通道。有利于提高道路服务水平，改善海南省中北部地区运输条件。项目符合海南省发展需求，属于部门履职所需，项目立项依据充分，该指标得满分。</w:t>
      </w:r>
    </w:p>
    <w:p>
      <w:pPr>
        <w:keepNext w:val="0"/>
        <w:keepLines w:val="0"/>
        <w:pageBreakBefore w:val="0"/>
        <w:widowControl w:val="0"/>
        <w:kinsoku/>
        <w:wordWrap/>
        <w:overflowPunct/>
        <w:topLinePunct w:val="0"/>
        <w:autoSpaceDE/>
        <w:autoSpaceDN/>
        <w:bidi w:val="0"/>
        <w:adjustRightInd/>
        <w:snapToGrid/>
        <w:ind w:firstLine="643"/>
        <w:textAlignment w:val="auto"/>
        <w:outlineLvl w:val="2"/>
        <w:rPr>
          <w:rFonts w:ascii="仿宋_GB2312"/>
          <w:b/>
          <w:bCs/>
        </w:rPr>
      </w:pPr>
      <w:bookmarkStart w:id="88" w:name="_Toc21119"/>
      <w:bookmarkStart w:id="89" w:name="_Toc2695"/>
      <w:bookmarkStart w:id="90" w:name="_Toc18035"/>
      <w:bookmarkStart w:id="91" w:name="_Toc6054"/>
      <w:bookmarkStart w:id="92" w:name="_Toc1763"/>
      <w:r>
        <w:rPr>
          <w:rFonts w:hint="eastAsia" w:ascii="仿宋_GB2312"/>
          <w:b/>
          <w:bCs/>
        </w:rPr>
        <w:t>4.1.2立项程序规范性</w:t>
      </w:r>
      <w:bookmarkEnd w:id="88"/>
      <w:bookmarkEnd w:id="89"/>
      <w:bookmarkEnd w:id="90"/>
      <w:bookmarkEnd w:id="91"/>
      <w:bookmarkEnd w:id="92"/>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指标解释：</w:t>
      </w:r>
      <w:r>
        <w:rPr>
          <w:rFonts w:hint="eastAsia" w:ascii="仿宋_GB2312"/>
        </w:rPr>
        <w:t>项目申请、设立过程是否符合相关要求，用以反映和考核项目立项的规范情况。</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评价要点：</w:t>
      </w:r>
      <w:r>
        <w:rPr>
          <w:rFonts w:hint="eastAsia" w:ascii="仿宋_GB2312"/>
        </w:rPr>
        <w:t>①项目是否按照规定的程序申请设立；②审批文件、材料是否符合相关要求；③事前是否已经过必要的可行性研究、专家论证、风险评估、绩效评估、集体决策。</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评分标准：</w:t>
      </w:r>
      <w:r>
        <w:rPr>
          <w:rFonts w:hint="eastAsia" w:ascii="仿宋_GB2312"/>
        </w:rPr>
        <w:t>满足一项得1/3权重分。</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绩效分析：</w:t>
      </w:r>
      <w:r>
        <w:rPr>
          <w:rFonts w:hint="eastAsia" w:ascii="仿宋_GB2312"/>
        </w:rPr>
        <w:t>根据《海南省发展和改革委员会关于批复省道S303屯大线雨水岭大道至大拉段改建工程可行性研究报告的函》（琼发改审批函〔2023〕38号）、《</w:t>
      </w:r>
      <w:r>
        <w:rPr>
          <w:rFonts w:hint="eastAsia" w:ascii="仿宋_GB2312" w:cs="仿宋_GB2312"/>
          <w:kern w:val="0"/>
          <w:szCs w:val="32"/>
        </w:rPr>
        <w:t>海南省发展和改革委员会关于批复省道</w:t>
      </w:r>
      <w:r>
        <w:rPr>
          <w:rFonts w:hint="eastAsia" w:ascii="仿宋_GB2312"/>
          <w:kern w:val="0"/>
          <w:szCs w:val="32"/>
        </w:rPr>
        <w:t>S303</w:t>
      </w:r>
      <w:r>
        <w:rPr>
          <w:rFonts w:hint="eastAsia" w:ascii="仿宋_GB2312" w:cs="仿宋_GB2312"/>
          <w:kern w:val="0"/>
          <w:szCs w:val="32"/>
        </w:rPr>
        <w:t>屯大线雨水岭大道至大拉段改建工程初步设计及概算的函》（琼发改审批函</w:t>
      </w:r>
      <w:r>
        <w:rPr>
          <w:rFonts w:hint="eastAsia" w:ascii="仿宋_GB2312"/>
          <w:kern w:val="0"/>
          <w:szCs w:val="32"/>
        </w:rPr>
        <w:t>〔2023〕415</w:t>
      </w:r>
      <w:r>
        <w:rPr>
          <w:rFonts w:hint="eastAsia" w:ascii="仿宋_GB2312" w:cs="仿宋_GB2312"/>
          <w:kern w:val="0"/>
          <w:szCs w:val="32"/>
        </w:rPr>
        <w:t>号）和《海南省交通运输厅关于省道</w:t>
      </w:r>
      <w:r>
        <w:rPr>
          <w:rFonts w:hint="eastAsia" w:ascii="仿宋_GB2312"/>
          <w:kern w:val="0"/>
          <w:szCs w:val="32"/>
        </w:rPr>
        <w:t>S303</w:t>
      </w:r>
      <w:r>
        <w:rPr>
          <w:rFonts w:hint="eastAsia" w:ascii="仿宋_GB2312" w:cs="仿宋_GB2312"/>
          <w:kern w:val="0"/>
          <w:szCs w:val="32"/>
        </w:rPr>
        <w:t>屯大线雨水岭大道至大拉段改建工程施工图设计的批复》（琼交运审批</w:t>
      </w:r>
      <w:r>
        <w:rPr>
          <w:rFonts w:hint="eastAsia" w:ascii="仿宋_GB2312"/>
          <w:kern w:val="0"/>
          <w:szCs w:val="32"/>
        </w:rPr>
        <w:t>〔2023〕27</w:t>
      </w:r>
      <w:r>
        <w:rPr>
          <w:rFonts w:hint="eastAsia" w:ascii="仿宋_GB2312" w:cs="仿宋_GB2312"/>
          <w:kern w:val="0"/>
          <w:szCs w:val="32"/>
        </w:rPr>
        <w:t>号）等文件，省道</w:t>
      </w:r>
      <w:r>
        <w:rPr>
          <w:rFonts w:hint="eastAsia" w:ascii="仿宋_GB2312"/>
          <w:kern w:val="0"/>
          <w:szCs w:val="32"/>
        </w:rPr>
        <w:t>S303</w:t>
      </w:r>
      <w:r>
        <w:rPr>
          <w:rFonts w:hint="eastAsia" w:ascii="仿宋_GB2312" w:cs="仿宋_GB2312"/>
          <w:kern w:val="0"/>
          <w:szCs w:val="32"/>
        </w:rPr>
        <w:t>屯大线雨水岭大道至大拉段改建工程项目于</w:t>
      </w:r>
      <w:r>
        <w:rPr>
          <w:rFonts w:hint="eastAsia" w:ascii="仿宋_GB2312"/>
        </w:rPr>
        <w:t>2023</w:t>
      </w:r>
      <w:r>
        <w:rPr>
          <w:rFonts w:hint="eastAsia" w:ascii="仿宋_GB2312" w:cs="仿宋_GB2312"/>
          <w:kern w:val="0"/>
          <w:szCs w:val="32"/>
        </w:rPr>
        <w:t>年</w:t>
      </w:r>
      <w:r>
        <w:rPr>
          <w:rFonts w:hint="eastAsia" w:ascii="仿宋_GB2312"/>
        </w:rPr>
        <w:t>6</w:t>
      </w:r>
      <w:r>
        <w:rPr>
          <w:rFonts w:hint="eastAsia" w:ascii="仿宋_GB2312" w:cs="仿宋_GB2312"/>
          <w:kern w:val="0"/>
          <w:szCs w:val="32"/>
        </w:rPr>
        <w:t>月通过了海南华鹏工程咨询有限公司组织的专家评审，</w:t>
      </w:r>
      <w:r>
        <w:rPr>
          <w:rFonts w:hint="eastAsia" w:ascii="仿宋_GB2312"/>
        </w:rPr>
        <w:t>项目按照规定程序设立申请，经过可行性研究、专家论证，项目立项程序规范，该指标得满分。</w:t>
      </w:r>
    </w:p>
    <w:p>
      <w:pPr>
        <w:keepNext w:val="0"/>
        <w:keepLines w:val="0"/>
        <w:pageBreakBefore w:val="0"/>
        <w:widowControl w:val="0"/>
        <w:kinsoku/>
        <w:wordWrap/>
        <w:overflowPunct/>
        <w:topLinePunct w:val="0"/>
        <w:autoSpaceDE/>
        <w:autoSpaceDN/>
        <w:bidi w:val="0"/>
        <w:adjustRightInd/>
        <w:snapToGrid/>
        <w:ind w:firstLine="643"/>
        <w:textAlignment w:val="auto"/>
        <w:outlineLvl w:val="2"/>
        <w:rPr>
          <w:rFonts w:ascii="仿宋_GB2312"/>
          <w:b/>
          <w:bCs/>
        </w:rPr>
      </w:pPr>
      <w:bookmarkStart w:id="93" w:name="_Toc9555"/>
      <w:bookmarkStart w:id="94" w:name="_Toc14505"/>
      <w:bookmarkStart w:id="95" w:name="_Toc3151"/>
      <w:bookmarkStart w:id="96" w:name="_Toc3707"/>
      <w:bookmarkStart w:id="97" w:name="_Toc30803"/>
      <w:r>
        <w:rPr>
          <w:rFonts w:hint="eastAsia" w:ascii="仿宋_GB2312"/>
          <w:b/>
          <w:bCs/>
        </w:rPr>
        <w:t>4.1.3绩效目标合理性</w:t>
      </w:r>
      <w:bookmarkEnd w:id="93"/>
      <w:bookmarkEnd w:id="94"/>
      <w:bookmarkEnd w:id="95"/>
      <w:bookmarkEnd w:id="96"/>
      <w:bookmarkEnd w:id="97"/>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指标解释：</w:t>
      </w:r>
      <w:r>
        <w:rPr>
          <w:rFonts w:hint="eastAsia" w:ascii="仿宋_GB2312"/>
        </w:rPr>
        <w:t>项目所设定的绩效目标是否依据充分，是否符合客观实际，用以反映和考核项目绩效目标与项目实施的相符情况。</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评价要点：</w:t>
      </w:r>
      <w:r>
        <w:rPr>
          <w:rFonts w:hint="eastAsia" w:ascii="仿宋_GB2312"/>
        </w:rPr>
        <w:t>（如未设定预算绩效目标，也可考核其他工作任务目标）①项目是否有绩效目标；②项目绩效目标与实际工作内容是否具有相关性；③项目预期产出效益和效果是否符合正常的业绩水平；④是否与预算确定的项目投资额或资金量相匹配。</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评分标准：</w:t>
      </w:r>
      <w:r>
        <w:rPr>
          <w:rFonts w:hint="eastAsia" w:ascii="仿宋_GB2312"/>
        </w:rPr>
        <w:t>满足一项得25%权重分。</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绩效分析：</w:t>
      </w:r>
      <w:r>
        <w:rPr>
          <w:rFonts w:hint="eastAsia" w:ascii="仿宋_GB2312"/>
        </w:rPr>
        <w:t>根据项目支出绩效目标自评表，</w:t>
      </w:r>
      <w:r>
        <w:rPr>
          <w:rFonts w:hint="eastAsia" w:ascii="仿宋_GB2312" w:cs="仿宋_GB2312"/>
          <w:kern w:val="0"/>
          <w:szCs w:val="32"/>
        </w:rPr>
        <w:t>省道</w:t>
      </w:r>
      <w:r>
        <w:rPr>
          <w:rFonts w:hint="eastAsia" w:ascii="仿宋_GB2312"/>
          <w:kern w:val="0"/>
          <w:szCs w:val="32"/>
        </w:rPr>
        <w:t>S303</w:t>
      </w:r>
      <w:r>
        <w:rPr>
          <w:rFonts w:hint="eastAsia" w:ascii="仿宋_GB2312" w:cs="仿宋_GB2312"/>
          <w:kern w:val="0"/>
          <w:szCs w:val="32"/>
        </w:rPr>
        <w:t>屯大线雨水岭大道至大拉段改建工程项目的</w:t>
      </w:r>
      <w:r>
        <w:rPr>
          <w:rFonts w:hint="eastAsia" w:ascii="仿宋_GB2312"/>
        </w:rPr>
        <w:t>年度绩效目标为：通过完成省道S303屯大线雨水岭大道至大拉段改建工程，提高道路服务水平，改善海南省中北部地区运输条件。绩效目标与实际工作内容相关，但项目绩效目标不够具体，不能体现出预期的产出水平、从绩效目标中不能确定与预算确定的项目投资额或资金量相匹配。该指标扣50%权重分。</w:t>
      </w:r>
    </w:p>
    <w:p>
      <w:pPr>
        <w:keepNext w:val="0"/>
        <w:keepLines w:val="0"/>
        <w:pageBreakBefore w:val="0"/>
        <w:widowControl w:val="0"/>
        <w:kinsoku/>
        <w:wordWrap/>
        <w:overflowPunct/>
        <w:topLinePunct w:val="0"/>
        <w:autoSpaceDE/>
        <w:autoSpaceDN/>
        <w:bidi w:val="0"/>
        <w:adjustRightInd/>
        <w:snapToGrid/>
        <w:ind w:firstLine="643"/>
        <w:textAlignment w:val="auto"/>
        <w:outlineLvl w:val="2"/>
        <w:rPr>
          <w:rFonts w:ascii="仿宋_GB2312"/>
          <w:b/>
          <w:bCs/>
        </w:rPr>
      </w:pPr>
      <w:bookmarkStart w:id="98" w:name="_Toc8924"/>
      <w:bookmarkStart w:id="99" w:name="_Toc27058"/>
      <w:bookmarkStart w:id="100" w:name="_Toc14971"/>
      <w:bookmarkStart w:id="101" w:name="_Toc22468"/>
      <w:bookmarkStart w:id="102" w:name="_Toc19196"/>
      <w:r>
        <w:rPr>
          <w:rFonts w:hint="eastAsia" w:ascii="仿宋_GB2312"/>
          <w:b/>
          <w:bCs/>
        </w:rPr>
        <w:t>4.1.4绩效指标明确性</w:t>
      </w:r>
      <w:bookmarkEnd w:id="98"/>
      <w:bookmarkEnd w:id="99"/>
      <w:bookmarkEnd w:id="100"/>
      <w:bookmarkEnd w:id="101"/>
      <w:bookmarkEnd w:id="102"/>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指标解释：</w:t>
      </w:r>
      <w:r>
        <w:rPr>
          <w:rFonts w:hint="eastAsia" w:ascii="仿宋_GB2312"/>
        </w:rPr>
        <w:t>依据绩效目标设定的绩效指标是否清晰、细化、可衡量等，用以反映和考核项目绩效目标的明细化情况。</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评价要点：</w:t>
      </w:r>
      <w:r>
        <w:rPr>
          <w:rFonts w:hint="eastAsia" w:ascii="仿宋_GB2312"/>
        </w:rPr>
        <w:t>①是否将项目绩效目标细化分解为具体的绩效指标；②是否通过清晰、可衡量的指标值予以体现；③是否与项目目标任务数或计划数相对应。</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评分标准：</w:t>
      </w:r>
      <w:r>
        <w:rPr>
          <w:rFonts w:hint="eastAsia" w:ascii="仿宋_GB2312"/>
        </w:rPr>
        <w:t>满足一项得1/3权重分。</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highlight w:val="yellow"/>
        </w:rPr>
      </w:pPr>
      <w:r>
        <w:rPr>
          <w:rFonts w:hint="eastAsia" w:ascii="仿宋_GB2312"/>
          <w:b/>
          <w:bCs/>
        </w:rPr>
        <w:t>绩效分析：</w:t>
      </w:r>
      <w:r>
        <w:rPr>
          <w:rFonts w:hint="eastAsia" w:ascii="仿宋_GB2312"/>
        </w:rPr>
        <w:t>根据项目绩效目标申报表,部门已将</w:t>
      </w:r>
      <w:r>
        <w:rPr>
          <w:rFonts w:hint="eastAsia" w:ascii="仿宋_GB2312" w:cs="仿宋_GB2312"/>
          <w:kern w:val="0"/>
          <w:szCs w:val="32"/>
        </w:rPr>
        <w:t>省道</w:t>
      </w:r>
      <w:r>
        <w:rPr>
          <w:rFonts w:hint="eastAsia" w:ascii="仿宋_GB2312"/>
          <w:kern w:val="0"/>
          <w:szCs w:val="32"/>
        </w:rPr>
        <w:t>S303</w:t>
      </w:r>
      <w:r>
        <w:rPr>
          <w:rFonts w:hint="eastAsia" w:ascii="仿宋_GB2312" w:cs="仿宋_GB2312"/>
          <w:kern w:val="0"/>
          <w:szCs w:val="32"/>
        </w:rPr>
        <w:t>屯大线雨水岭大道至大拉段改建工程项目</w:t>
      </w:r>
      <w:bookmarkStart w:id="103" w:name="_Hlk198392090"/>
      <w:r>
        <w:rPr>
          <w:rFonts w:hint="eastAsia" w:ascii="仿宋_GB2312"/>
        </w:rPr>
        <w:t>绩效目标分解为具体的绩效指标，指标清晰、细化、可衡量。该指标得满分。</w:t>
      </w:r>
      <w:bookmarkEnd w:id="103"/>
    </w:p>
    <w:p>
      <w:pPr>
        <w:keepNext w:val="0"/>
        <w:keepLines w:val="0"/>
        <w:pageBreakBefore w:val="0"/>
        <w:widowControl w:val="0"/>
        <w:kinsoku/>
        <w:wordWrap/>
        <w:overflowPunct/>
        <w:topLinePunct w:val="0"/>
        <w:autoSpaceDE/>
        <w:autoSpaceDN/>
        <w:bidi w:val="0"/>
        <w:adjustRightInd/>
        <w:snapToGrid/>
        <w:ind w:firstLine="643"/>
        <w:textAlignment w:val="auto"/>
        <w:outlineLvl w:val="2"/>
        <w:rPr>
          <w:rFonts w:ascii="仿宋_GB2312"/>
          <w:b/>
          <w:bCs/>
        </w:rPr>
      </w:pPr>
      <w:bookmarkStart w:id="104" w:name="_Toc1019"/>
      <w:bookmarkStart w:id="105" w:name="_Toc21793"/>
      <w:bookmarkStart w:id="106" w:name="_Toc27735"/>
      <w:bookmarkStart w:id="107" w:name="_Toc31544"/>
      <w:bookmarkStart w:id="108" w:name="_Toc25319"/>
      <w:r>
        <w:rPr>
          <w:rFonts w:hint="eastAsia" w:ascii="仿宋_GB2312"/>
          <w:b/>
          <w:bCs/>
        </w:rPr>
        <w:t>4.1.5预算编制科学性</w:t>
      </w:r>
      <w:bookmarkEnd w:id="104"/>
      <w:bookmarkEnd w:id="105"/>
      <w:bookmarkEnd w:id="106"/>
      <w:bookmarkEnd w:id="107"/>
      <w:bookmarkEnd w:id="108"/>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指标解释：</w:t>
      </w:r>
      <w:r>
        <w:rPr>
          <w:rFonts w:hint="eastAsia" w:ascii="仿宋_GB2312"/>
        </w:rPr>
        <w:t>项目预算编制是否经过科学论证、有明确标准，资金额度与年度目标是否相适应，用以反映和考核项目预算编制的科学性、合理性情况。</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评价要点：</w:t>
      </w:r>
      <w:r>
        <w:rPr>
          <w:rFonts w:hint="eastAsia" w:ascii="仿宋_GB2312"/>
        </w:rPr>
        <w:t>①预算编制是否经过科学论证；②预算内容与项目内容是否匹配；③预算额度测算依据是否充分，是否按照标准编制；④预算确定的项目投资额或资金量是否与工作任务相匹配。</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评分标准：</w:t>
      </w:r>
      <w:r>
        <w:rPr>
          <w:rFonts w:hint="eastAsia" w:ascii="仿宋_GB2312"/>
        </w:rPr>
        <w:t>满足一项得25%权重分。</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绩效分析：</w:t>
      </w:r>
      <w:r>
        <w:rPr>
          <w:rFonts w:hint="eastAsia" w:ascii="仿宋_GB2312"/>
        </w:rPr>
        <w:t>根据《海南省发展和改革委员会关于批复省道S303屯大线雨水岭大道至大拉段改建工程可行性研究报告的函》（琼发改审批函〔2023〕38号）、《</w:t>
      </w:r>
      <w:r>
        <w:rPr>
          <w:rFonts w:hint="eastAsia" w:ascii="仿宋_GB2312" w:cs="仿宋_GB2312"/>
          <w:kern w:val="0"/>
          <w:szCs w:val="32"/>
        </w:rPr>
        <w:t>海南省发展和改革委员会关于批复省道</w:t>
      </w:r>
      <w:r>
        <w:rPr>
          <w:rFonts w:hint="eastAsia" w:ascii="仿宋_GB2312"/>
          <w:kern w:val="0"/>
          <w:szCs w:val="32"/>
        </w:rPr>
        <w:t>S303</w:t>
      </w:r>
      <w:r>
        <w:rPr>
          <w:rFonts w:hint="eastAsia" w:ascii="仿宋_GB2312" w:cs="仿宋_GB2312"/>
          <w:kern w:val="0"/>
          <w:szCs w:val="32"/>
        </w:rPr>
        <w:t>屯大线雨水岭大道至大拉段改建工程初步设计及概算的函》（琼发改审批函</w:t>
      </w:r>
      <w:r>
        <w:rPr>
          <w:rFonts w:hint="eastAsia" w:ascii="仿宋_GB2312"/>
          <w:kern w:val="0"/>
          <w:szCs w:val="32"/>
        </w:rPr>
        <w:t>〔2023〕415</w:t>
      </w:r>
      <w:r>
        <w:rPr>
          <w:rFonts w:hint="eastAsia" w:ascii="仿宋_GB2312" w:cs="仿宋_GB2312"/>
          <w:kern w:val="0"/>
          <w:szCs w:val="32"/>
        </w:rPr>
        <w:t>号）和《海南省交通运输厅关于省道</w:t>
      </w:r>
      <w:r>
        <w:rPr>
          <w:rFonts w:hint="eastAsia" w:ascii="仿宋_GB2312"/>
          <w:kern w:val="0"/>
          <w:szCs w:val="32"/>
        </w:rPr>
        <w:t>S303</w:t>
      </w:r>
      <w:r>
        <w:rPr>
          <w:rFonts w:hint="eastAsia" w:ascii="仿宋_GB2312" w:cs="仿宋_GB2312"/>
          <w:kern w:val="0"/>
          <w:szCs w:val="32"/>
        </w:rPr>
        <w:t>屯大线雨水岭大道至大拉段改建工程施工图设计的批复》（琼交运审批</w:t>
      </w:r>
      <w:r>
        <w:rPr>
          <w:rFonts w:hint="eastAsia" w:ascii="仿宋_GB2312"/>
          <w:kern w:val="0"/>
          <w:szCs w:val="32"/>
        </w:rPr>
        <w:t>〔2023〕27</w:t>
      </w:r>
      <w:r>
        <w:rPr>
          <w:rFonts w:hint="eastAsia" w:ascii="仿宋_GB2312" w:cs="仿宋_GB2312"/>
          <w:kern w:val="0"/>
          <w:szCs w:val="32"/>
        </w:rPr>
        <w:t>号）</w:t>
      </w:r>
      <w:r>
        <w:rPr>
          <w:rFonts w:hint="eastAsia" w:ascii="仿宋_GB2312"/>
        </w:rPr>
        <w:t>，项目初步设计及概算于2023年6月7日得到批复，根据交通运输部《公路工程建设项目概算预算编制办法》(JTG3830-2018)、《公路工程概算定额》(JTG/T3831-2018)及海南省有关规定，结合海南华鹏工程咨询有限公司编制的评审报告进行审核，</w:t>
      </w:r>
      <w:r>
        <w:rPr>
          <w:rFonts w:hint="eastAsia" w:ascii="仿宋_GB2312" w:cs="仿宋_GB2312"/>
          <w:kern w:val="0"/>
          <w:szCs w:val="32"/>
        </w:rPr>
        <w:t>省道</w:t>
      </w:r>
      <w:r>
        <w:rPr>
          <w:rFonts w:hint="eastAsia" w:ascii="仿宋_GB2312"/>
          <w:kern w:val="0"/>
          <w:szCs w:val="32"/>
        </w:rPr>
        <w:t>S303</w:t>
      </w:r>
      <w:r>
        <w:rPr>
          <w:rFonts w:hint="eastAsia" w:ascii="仿宋_GB2312" w:cs="仿宋_GB2312"/>
          <w:kern w:val="0"/>
          <w:szCs w:val="32"/>
        </w:rPr>
        <w:t>屯大线雨水岭大道至大拉段改建工程</w:t>
      </w:r>
      <w:r>
        <w:rPr>
          <w:rFonts w:hint="eastAsia" w:ascii="仿宋_GB2312"/>
        </w:rPr>
        <w:t>项目</w:t>
      </w:r>
      <w:r>
        <w:rPr>
          <w:rFonts w:hint="eastAsia" w:ascii="仿宋_GB2312" w:cs="仿宋_GB2312"/>
          <w:kern w:val="0"/>
          <w:szCs w:val="32"/>
        </w:rPr>
        <w:t>的</w:t>
      </w:r>
      <w:r>
        <w:rPr>
          <w:rFonts w:hint="eastAsia" w:ascii="仿宋_GB2312"/>
        </w:rPr>
        <w:t>总投资概算核定为154,746.84万元，项目预算编制经过论证、评审，该指标得满分。</w:t>
      </w:r>
    </w:p>
    <w:p>
      <w:pPr>
        <w:keepNext w:val="0"/>
        <w:keepLines w:val="0"/>
        <w:pageBreakBefore w:val="0"/>
        <w:widowControl w:val="0"/>
        <w:kinsoku/>
        <w:wordWrap/>
        <w:overflowPunct/>
        <w:topLinePunct w:val="0"/>
        <w:autoSpaceDE/>
        <w:autoSpaceDN/>
        <w:bidi w:val="0"/>
        <w:adjustRightInd/>
        <w:snapToGrid/>
        <w:ind w:firstLine="643"/>
        <w:textAlignment w:val="auto"/>
        <w:outlineLvl w:val="2"/>
        <w:rPr>
          <w:rFonts w:ascii="仿宋_GB2312"/>
          <w:b/>
          <w:bCs/>
        </w:rPr>
      </w:pPr>
      <w:bookmarkStart w:id="109" w:name="_Toc31309"/>
      <w:bookmarkStart w:id="110" w:name="_Toc20420"/>
      <w:bookmarkStart w:id="111" w:name="_Toc18683"/>
      <w:bookmarkStart w:id="112" w:name="_Toc12723"/>
      <w:bookmarkStart w:id="113" w:name="_Toc25816"/>
      <w:r>
        <w:rPr>
          <w:rFonts w:hint="eastAsia" w:ascii="仿宋_GB2312"/>
          <w:b/>
          <w:bCs/>
        </w:rPr>
        <w:t>4.1.6资金分配合理性</w:t>
      </w:r>
      <w:bookmarkEnd w:id="109"/>
      <w:bookmarkEnd w:id="110"/>
      <w:bookmarkEnd w:id="111"/>
      <w:bookmarkEnd w:id="112"/>
      <w:bookmarkEnd w:id="113"/>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指标解释：</w:t>
      </w:r>
      <w:r>
        <w:rPr>
          <w:rFonts w:hint="eastAsia" w:ascii="仿宋_GB2312"/>
        </w:rPr>
        <w:t>项目预算资金分配是否有测算依据，与补助单位或地方实际是否相适应，用以反映和考核项目预算资金分配的科学性、合理性情况。</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评价要点：</w:t>
      </w:r>
      <w:r>
        <w:rPr>
          <w:rFonts w:hint="eastAsia" w:ascii="仿宋_GB2312"/>
        </w:rPr>
        <w:t>①预算资金分配依据是否充分；②资金分配额度是否合理，与项目单位或地方实际是否相适应。</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评分标准：</w:t>
      </w:r>
      <w:r>
        <w:rPr>
          <w:rFonts w:hint="eastAsia" w:ascii="仿宋_GB2312"/>
        </w:rPr>
        <w:t>满足一项得50%权重分。</w:t>
      </w:r>
    </w:p>
    <w:p>
      <w:pPr>
        <w:pStyle w:val="16"/>
        <w:keepNext w:val="0"/>
        <w:keepLines w:val="0"/>
        <w:pageBreakBefore w:val="0"/>
        <w:widowControl w:val="0"/>
        <w:kinsoku/>
        <w:wordWrap/>
        <w:overflowPunct/>
        <w:topLinePunct w:val="0"/>
        <w:autoSpaceDE/>
        <w:autoSpaceDN/>
        <w:bidi w:val="0"/>
        <w:adjustRightInd/>
        <w:snapToGrid/>
        <w:spacing w:after="0"/>
        <w:ind w:left="0" w:leftChars="0" w:firstLine="643"/>
        <w:textAlignment w:val="auto"/>
        <w:rPr>
          <w:rFonts w:ascii="仿宋_GB2312"/>
        </w:rPr>
      </w:pPr>
      <w:r>
        <w:rPr>
          <w:rFonts w:hint="eastAsia" w:ascii="仿宋_GB2312"/>
          <w:b/>
          <w:bCs/>
        </w:rPr>
        <w:t>绩效分析：</w:t>
      </w:r>
      <w:r>
        <w:rPr>
          <w:rFonts w:hint="eastAsia" w:ascii="仿宋_GB2312"/>
        </w:rPr>
        <w:t>项目按批复后的预算概算金额进行资金分配。预算资金分配依据充分，资金分配额度合理，该指标得满分。</w:t>
      </w:r>
    </w:p>
    <w:p>
      <w:pPr>
        <w:pStyle w:val="7"/>
        <w:keepNext w:val="0"/>
        <w:keepLines w:val="0"/>
        <w:pageBreakBefore w:val="0"/>
        <w:widowControl w:val="0"/>
        <w:numPr>
          <w:ilvl w:val="0"/>
          <w:numId w:val="3"/>
        </w:numPr>
        <w:kinsoku/>
        <w:wordWrap/>
        <w:overflowPunct/>
        <w:topLinePunct w:val="0"/>
        <w:autoSpaceDE/>
        <w:autoSpaceDN/>
        <w:bidi w:val="0"/>
        <w:adjustRightInd/>
        <w:snapToGrid/>
        <w:ind w:firstLine="643"/>
        <w:textAlignment w:val="auto"/>
        <w:outlineLvl w:val="1"/>
        <w:rPr>
          <w:rFonts w:ascii="楷体_GB2312" w:hAnsi="Times New Roman" w:eastAsia="楷体_GB2312" w:cs="Times New Roman"/>
          <w:b/>
          <w:bCs/>
        </w:rPr>
      </w:pPr>
      <w:bookmarkStart w:id="114" w:name="_Toc590"/>
      <w:r>
        <w:rPr>
          <w:rFonts w:hint="eastAsia" w:ascii="楷体_GB2312" w:hAnsi="Times New Roman" w:eastAsia="楷体_GB2312" w:cs="Times New Roman"/>
          <w:b/>
          <w:bCs/>
        </w:rPr>
        <w:t>项目过程情况</w:t>
      </w:r>
      <w:bookmarkEnd w:id="114"/>
    </w:p>
    <w:p>
      <w:pPr>
        <w:keepNext w:val="0"/>
        <w:keepLines w:val="0"/>
        <w:pageBreakBefore w:val="0"/>
        <w:widowControl w:val="0"/>
        <w:kinsoku/>
        <w:wordWrap/>
        <w:overflowPunct/>
        <w:topLinePunct w:val="0"/>
        <w:autoSpaceDE/>
        <w:autoSpaceDN/>
        <w:bidi w:val="0"/>
        <w:adjustRightInd/>
        <w:snapToGrid/>
        <w:textAlignment w:val="auto"/>
        <w:rPr>
          <w:rFonts w:ascii="仿宋_GB2312"/>
        </w:rPr>
      </w:pPr>
      <w:r>
        <w:rPr>
          <w:rFonts w:hint="eastAsia" w:ascii="仿宋_GB2312"/>
        </w:rPr>
        <w:t>过程管理指标从资金管理、组织实施两个方面对项目进行考察，过程管理类指标分值共计24分，本项目实际得分为24分，得分率为100%。各个指标的实际得分情况见下表：</w:t>
      </w:r>
    </w:p>
    <w:p>
      <w:pPr>
        <w:pStyle w:val="24"/>
        <w:ind w:firstLine="562"/>
        <w:rPr>
          <w:rFonts w:ascii="仿宋_GB2312"/>
        </w:rPr>
      </w:pPr>
      <w:r>
        <w:rPr>
          <w:rFonts w:hint="eastAsia" w:ascii="仿宋_GB2312"/>
          <w:sz w:val="28"/>
          <w:szCs w:val="32"/>
        </w:rPr>
        <w:t>过程管理类指标得分情况表</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40"/>
        <w:gridCol w:w="1695"/>
        <w:gridCol w:w="1695"/>
        <w:gridCol w:w="1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2017" w:type="pct"/>
            <w:vAlign w:val="center"/>
          </w:tcPr>
          <w:p>
            <w:pPr>
              <w:spacing w:line="400" w:lineRule="exact"/>
              <w:ind w:firstLine="0" w:firstLineChars="0"/>
              <w:jc w:val="center"/>
              <w:rPr>
                <w:rFonts w:ascii="仿宋_GB2312"/>
                <w:b/>
                <w:bCs/>
                <w:sz w:val="24"/>
              </w:rPr>
            </w:pPr>
            <w:r>
              <w:rPr>
                <w:rFonts w:hint="eastAsia" w:ascii="仿宋_GB2312"/>
                <w:b/>
                <w:bCs/>
                <w:sz w:val="24"/>
              </w:rPr>
              <w:t>评价指标</w:t>
            </w:r>
          </w:p>
        </w:tc>
        <w:tc>
          <w:tcPr>
            <w:tcW w:w="994" w:type="pct"/>
            <w:vAlign w:val="center"/>
          </w:tcPr>
          <w:p>
            <w:pPr>
              <w:spacing w:line="400" w:lineRule="exact"/>
              <w:ind w:firstLine="0" w:firstLineChars="0"/>
              <w:jc w:val="center"/>
              <w:rPr>
                <w:rFonts w:ascii="仿宋_GB2312"/>
                <w:b/>
                <w:bCs/>
                <w:sz w:val="24"/>
              </w:rPr>
            </w:pPr>
            <w:r>
              <w:rPr>
                <w:rFonts w:hint="eastAsia" w:ascii="仿宋_GB2312"/>
                <w:b/>
                <w:bCs/>
                <w:sz w:val="24"/>
              </w:rPr>
              <w:t>分值</w:t>
            </w:r>
          </w:p>
        </w:tc>
        <w:tc>
          <w:tcPr>
            <w:tcW w:w="994" w:type="pct"/>
            <w:vAlign w:val="center"/>
          </w:tcPr>
          <w:p>
            <w:pPr>
              <w:spacing w:line="400" w:lineRule="exact"/>
              <w:ind w:firstLine="0" w:firstLineChars="0"/>
              <w:jc w:val="center"/>
              <w:rPr>
                <w:rFonts w:ascii="仿宋_GB2312"/>
                <w:b/>
                <w:bCs/>
                <w:sz w:val="24"/>
              </w:rPr>
            </w:pPr>
            <w:r>
              <w:rPr>
                <w:rFonts w:hint="eastAsia" w:ascii="仿宋_GB2312"/>
                <w:b/>
                <w:bCs/>
                <w:sz w:val="24"/>
              </w:rPr>
              <w:t>得分</w:t>
            </w:r>
          </w:p>
        </w:tc>
        <w:tc>
          <w:tcPr>
            <w:tcW w:w="994" w:type="pct"/>
            <w:vAlign w:val="center"/>
          </w:tcPr>
          <w:p>
            <w:pPr>
              <w:spacing w:line="400" w:lineRule="exact"/>
              <w:ind w:firstLine="0" w:firstLineChars="0"/>
              <w:jc w:val="center"/>
              <w:rPr>
                <w:rFonts w:ascii="仿宋_GB2312"/>
                <w:b/>
                <w:bCs/>
                <w:sz w:val="24"/>
              </w:rPr>
            </w:pPr>
            <w:r>
              <w:rPr>
                <w:rFonts w:hint="eastAsia" w:ascii="仿宋_GB2312"/>
                <w:b/>
                <w:bCs/>
                <w:sz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017" w:type="pct"/>
            <w:vAlign w:val="center"/>
          </w:tcPr>
          <w:p>
            <w:pPr>
              <w:spacing w:line="400" w:lineRule="exact"/>
              <w:ind w:firstLine="0" w:firstLineChars="0"/>
              <w:jc w:val="center"/>
              <w:rPr>
                <w:rFonts w:ascii="仿宋_GB2312"/>
                <w:sz w:val="24"/>
              </w:rPr>
            </w:pPr>
            <w:r>
              <w:rPr>
                <w:rFonts w:hint="eastAsia" w:ascii="仿宋_GB2312"/>
                <w:sz w:val="24"/>
              </w:rPr>
              <w:t>资金到位率</w:t>
            </w:r>
          </w:p>
        </w:tc>
        <w:tc>
          <w:tcPr>
            <w:tcW w:w="994" w:type="pct"/>
            <w:vAlign w:val="center"/>
          </w:tcPr>
          <w:p>
            <w:pPr>
              <w:spacing w:line="400" w:lineRule="exact"/>
              <w:ind w:firstLine="0" w:firstLineChars="0"/>
              <w:jc w:val="center"/>
              <w:rPr>
                <w:rFonts w:ascii="仿宋_GB2312"/>
                <w:sz w:val="24"/>
                <w:lang w:val="en"/>
              </w:rPr>
            </w:pPr>
            <w:r>
              <w:rPr>
                <w:rFonts w:hint="eastAsia" w:ascii="仿宋_GB2312"/>
                <w:sz w:val="24"/>
                <w:lang w:val="en"/>
              </w:rPr>
              <w:t>5</w:t>
            </w:r>
          </w:p>
        </w:tc>
        <w:tc>
          <w:tcPr>
            <w:tcW w:w="1694" w:type="dxa"/>
            <w:vAlign w:val="center"/>
          </w:tcPr>
          <w:p>
            <w:pPr>
              <w:widowControl/>
              <w:spacing w:line="400" w:lineRule="exact"/>
              <w:ind w:firstLine="0" w:firstLineChars="0"/>
              <w:jc w:val="center"/>
              <w:textAlignment w:val="center"/>
              <w:rPr>
                <w:rFonts w:ascii="仿宋_GB2312"/>
                <w:sz w:val="24"/>
              </w:rPr>
            </w:pPr>
            <w:r>
              <w:rPr>
                <w:rFonts w:hint="eastAsia" w:ascii="仿宋_GB2312"/>
                <w:color w:val="000000"/>
                <w:kern w:val="0"/>
                <w:sz w:val="24"/>
                <w:lang w:bidi="ar"/>
              </w:rPr>
              <w:t>5.00</w:t>
            </w:r>
          </w:p>
        </w:tc>
        <w:tc>
          <w:tcPr>
            <w:tcW w:w="1694" w:type="dxa"/>
            <w:vAlign w:val="center"/>
          </w:tcPr>
          <w:p>
            <w:pPr>
              <w:widowControl/>
              <w:spacing w:line="400" w:lineRule="exact"/>
              <w:ind w:firstLine="0" w:firstLineChars="0"/>
              <w:jc w:val="center"/>
              <w:textAlignment w:val="center"/>
              <w:rPr>
                <w:rFonts w:ascii="仿宋_GB2312"/>
                <w:sz w:val="24"/>
              </w:rPr>
            </w:pPr>
            <w:r>
              <w:rPr>
                <w:rFonts w:hint="eastAsia" w:ascii="仿宋_GB2312"/>
                <w:color w:val="000000"/>
                <w:kern w:val="0"/>
                <w:sz w:val="24"/>
                <w:lang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017" w:type="pct"/>
            <w:vAlign w:val="center"/>
          </w:tcPr>
          <w:p>
            <w:pPr>
              <w:spacing w:line="400" w:lineRule="exact"/>
              <w:ind w:firstLine="0" w:firstLineChars="0"/>
              <w:jc w:val="center"/>
              <w:rPr>
                <w:rFonts w:ascii="仿宋_GB2312"/>
                <w:sz w:val="24"/>
              </w:rPr>
            </w:pPr>
            <w:r>
              <w:rPr>
                <w:rFonts w:hint="eastAsia" w:ascii="仿宋_GB2312"/>
                <w:sz w:val="24"/>
              </w:rPr>
              <w:t>预算执行率</w:t>
            </w:r>
          </w:p>
        </w:tc>
        <w:tc>
          <w:tcPr>
            <w:tcW w:w="994" w:type="pct"/>
            <w:vAlign w:val="center"/>
          </w:tcPr>
          <w:p>
            <w:pPr>
              <w:spacing w:line="400" w:lineRule="exact"/>
              <w:ind w:firstLine="0" w:firstLineChars="0"/>
              <w:jc w:val="center"/>
              <w:rPr>
                <w:rFonts w:ascii="仿宋_GB2312"/>
                <w:sz w:val="24"/>
                <w:lang w:val="en"/>
              </w:rPr>
            </w:pPr>
            <w:r>
              <w:rPr>
                <w:rFonts w:hint="eastAsia" w:ascii="仿宋_GB2312"/>
                <w:sz w:val="24"/>
                <w:lang w:val="en"/>
              </w:rPr>
              <w:t>5</w:t>
            </w:r>
          </w:p>
        </w:tc>
        <w:tc>
          <w:tcPr>
            <w:tcW w:w="1694" w:type="dxa"/>
            <w:vAlign w:val="center"/>
          </w:tcPr>
          <w:p>
            <w:pPr>
              <w:widowControl/>
              <w:spacing w:line="400" w:lineRule="exact"/>
              <w:ind w:firstLine="0" w:firstLineChars="0"/>
              <w:jc w:val="center"/>
              <w:textAlignment w:val="center"/>
              <w:rPr>
                <w:rFonts w:ascii="仿宋_GB2312"/>
                <w:sz w:val="24"/>
              </w:rPr>
            </w:pPr>
            <w:r>
              <w:rPr>
                <w:rFonts w:hint="eastAsia" w:ascii="仿宋_GB2312"/>
                <w:color w:val="000000"/>
                <w:kern w:val="0"/>
                <w:sz w:val="24"/>
                <w:lang w:bidi="ar"/>
              </w:rPr>
              <w:t>5.00</w:t>
            </w:r>
          </w:p>
        </w:tc>
        <w:tc>
          <w:tcPr>
            <w:tcW w:w="1694" w:type="dxa"/>
            <w:vAlign w:val="center"/>
          </w:tcPr>
          <w:p>
            <w:pPr>
              <w:widowControl/>
              <w:spacing w:line="400" w:lineRule="exact"/>
              <w:ind w:firstLine="0" w:firstLineChars="0"/>
              <w:jc w:val="center"/>
              <w:textAlignment w:val="center"/>
              <w:rPr>
                <w:rFonts w:ascii="仿宋_GB2312"/>
                <w:sz w:val="24"/>
              </w:rPr>
            </w:pPr>
            <w:r>
              <w:rPr>
                <w:rFonts w:hint="eastAsia" w:ascii="仿宋_GB2312"/>
                <w:color w:val="000000"/>
                <w:kern w:val="0"/>
                <w:sz w:val="24"/>
                <w:lang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spacing w:line="400" w:lineRule="exact"/>
              <w:ind w:firstLine="0" w:firstLineChars="0"/>
              <w:jc w:val="center"/>
              <w:rPr>
                <w:rFonts w:ascii="仿宋_GB2312"/>
                <w:sz w:val="24"/>
              </w:rPr>
            </w:pPr>
            <w:r>
              <w:rPr>
                <w:rFonts w:hint="eastAsia" w:ascii="仿宋_GB2312"/>
                <w:sz w:val="24"/>
              </w:rPr>
              <w:t>资金使用合规性</w:t>
            </w:r>
          </w:p>
        </w:tc>
        <w:tc>
          <w:tcPr>
            <w:tcW w:w="994" w:type="pct"/>
            <w:vAlign w:val="center"/>
          </w:tcPr>
          <w:p>
            <w:pPr>
              <w:spacing w:line="400" w:lineRule="exact"/>
              <w:ind w:firstLine="0" w:firstLineChars="0"/>
              <w:jc w:val="center"/>
              <w:rPr>
                <w:rFonts w:ascii="仿宋_GB2312"/>
                <w:sz w:val="24"/>
              </w:rPr>
            </w:pPr>
            <w:r>
              <w:rPr>
                <w:rFonts w:hint="eastAsia" w:ascii="仿宋_GB2312"/>
                <w:sz w:val="24"/>
              </w:rPr>
              <w:t>4</w:t>
            </w:r>
          </w:p>
        </w:tc>
        <w:tc>
          <w:tcPr>
            <w:tcW w:w="1694" w:type="dxa"/>
            <w:vAlign w:val="center"/>
          </w:tcPr>
          <w:p>
            <w:pPr>
              <w:widowControl/>
              <w:spacing w:line="400" w:lineRule="exact"/>
              <w:ind w:firstLine="0" w:firstLineChars="0"/>
              <w:jc w:val="center"/>
              <w:textAlignment w:val="center"/>
              <w:rPr>
                <w:rFonts w:ascii="仿宋_GB2312"/>
                <w:sz w:val="24"/>
              </w:rPr>
            </w:pPr>
            <w:r>
              <w:rPr>
                <w:rFonts w:hint="eastAsia" w:ascii="仿宋_GB2312"/>
                <w:color w:val="000000"/>
                <w:kern w:val="0"/>
                <w:sz w:val="24"/>
                <w:lang w:bidi="ar"/>
              </w:rPr>
              <w:t>4.00</w:t>
            </w:r>
          </w:p>
        </w:tc>
        <w:tc>
          <w:tcPr>
            <w:tcW w:w="1694" w:type="dxa"/>
            <w:vAlign w:val="center"/>
          </w:tcPr>
          <w:p>
            <w:pPr>
              <w:widowControl/>
              <w:spacing w:line="400" w:lineRule="exact"/>
              <w:ind w:firstLine="0" w:firstLineChars="0"/>
              <w:jc w:val="center"/>
              <w:textAlignment w:val="center"/>
              <w:rPr>
                <w:rFonts w:ascii="仿宋_GB2312"/>
                <w:sz w:val="24"/>
              </w:rPr>
            </w:pPr>
            <w:r>
              <w:rPr>
                <w:rFonts w:hint="eastAsia" w:ascii="仿宋_GB2312"/>
                <w:color w:val="000000"/>
                <w:kern w:val="0"/>
                <w:sz w:val="24"/>
                <w:lang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spacing w:line="400" w:lineRule="exact"/>
              <w:ind w:firstLine="0" w:firstLineChars="0"/>
              <w:jc w:val="center"/>
              <w:rPr>
                <w:rFonts w:ascii="仿宋_GB2312"/>
                <w:sz w:val="24"/>
              </w:rPr>
            </w:pPr>
            <w:r>
              <w:rPr>
                <w:rFonts w:hint="eastAsia" w:ascii="仿宋_GB2312"/>
                <w:sz w:val="24"/>
              </w:rPr>
              <w:t>管理制度健全性</w:t>
            </w:r>
          </w:p>
        </w:tc>
        <w:tc>
          <w:tcPr>
            <w:tcW w:w="994" w:type="pct"/>
            <w:vAlign w:val="center"/>
          </w:tcPr>
          <w:p>
            <w:pPr>
              <w:spacing w:line="400" w:lineRule="exact"/>
              <w:ind w:firstLine="0" w:firstLineChars="0"/>
              <w:jc w:val="center"/>
              <w:rPr>
                <w:rFonts w:ascii="仿宋_GB2312"/>
                <w:sz w:val="24"/>
              </w:rPr>
            </w:pPr>
            <w:r>
              <w:rPr>
                <w:rFonts w:hint="eastAsia" w:ascii="仿宋_GB2312"/>
                <w:sz w:val="24"/>
              </w:rPr>
              <w:t>5</w:t>
            </w:r>
          </w:p>
        </w:tc>
        <w:tc>
          <w:tcPr>
            <w:tcW w:w="1694" w:type="dxa"/>
            <w:vAlign w:val="center"/>
          </w:tcPr>
          <w:p>
            <w:pPr>
              <w:widowControl/>
              <w:spacing w:line="400" w:lineRule="exact"/>
              <w:ind w:firstLine="0" w:firstLineChars="0"/>
              <w:jc w:val="center"/>
              <w:textAlignment w:val="center"/>
              <w:rPr>
                <w:rFonts w:ascii="仿宋_GB2312"/>
                <w:sz w:val="24"/>
              </w:rPr>
            </w:pPr>
            <w:r>
              <w:rPr>
                <w:rFonts w:hint="eastAsia" w:ascii="仿宋_GB2312"/>
                <w:color w:val="000000"/>
                <w:kern w:val="0"/>
                <w:sz w:val="24"/>
                <w:lang w:bidi="ar"/>
              </w:rPr>
              <w:t>5.00</w:t>
            </w:r>
          </w:p>
        </w:tc>
        <w:tc>
          <w:tcPr>
            <w:tcW w:w="1694" w:type="dxa"/>
            <w:vAlign w:val="center"/>
          </w:tcPr>
          <w:p>
            <w:pPr>
              <w:widowControl/>
              <w:spacing w:line="400" w:lineRule="exact"/>
              <w:ind w:firstLine="0" w:firstLineChars="0"/>
              <w:jc w:val="center"/>
              <w:textAlignment w:val="center"/>
              <w:rPr>
                <w:rFonts w:ascii="仿宋_GB2312"/>
                <w:sz w:val="24"/>
              </w:rPr>
            </w:pPr>
            <w:r>
              <w:rPr>
                <w:rFonts w:hint="eastAsia" w:ascii="仿宋_GB2312"/>
                <w:color w:val="000000"/>
                <w:kern w:val="0"/>
                <w:sz w:val="24"/>
                <w:lang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spacing w:line="400" w:lineRule="exact"/>
              <w:ind w:firstLine="0" w:firstLineChars="0"/>
              <w:jc w:val="center"/>
              <w:rPr>
                <w:rFonts w:ascii="仿宋_GB2312"/>
                <w:sz w:val="24"/>
              </w:rPr>
            </w:pPr>
            <w:r>
              <w:rPr>
                <w:rFonts w:hint="eastAsia" w:ascii="仿宋_GB2312"/>
                <w:sz w:val="24"/>
              </w:rPr>
              <w:t>制度执行有效性</w:t>
            </w:r>
          </w:p>
        </w:tc>
        <w:tc>
          <w:tcPr>
            <w:tcW w:w="994" w:type="pct"/>
            <w:vAlign w:val="center"/>
          </w:tcPr>
          <w:p>
            <w:pPr>
              <w:spacing w:line="400" w:lineRule="exact"/>
              <w:ind w:firstLine="0" w:firstLineChars="0"/>
              <w:jc w:val="center"/>
              <w:rPr>
                <w:rFonts w:ascii="仿宋_GB2312"/>
                <w:sz w:val="24"/>
              </w:rPr>
            </w:pPr>
            <w:r>
              <w:rPr>
                <w:rFonts w:hint="eastAsia" w:ascii="仿宋_GB2312"/>
                <w:sz w:val="24"/>
              </w:rPr>
              <w:t>5</w:t>
            </w:r>
          </w:p>
        </w:tc>
        <w:tc>
          <w:tcPr>
            <w:tcW w:w="1694" w:type="dxa"/>
            <w:vAlign w:val="center"/>
          </w:tcPr>
          <w:p>
            <w:pPr>
              <w:widowControl/>
              <w:spacing w:line="400" w:lineRule="exact"/>
              <w:ind w:firstLine="0" w:firstLineChars="0"/>
              <w:jc w:val="center"/>
              <w:textAlignment w:val="center"/>
              <w:rPr>
                <w:rFonts w:ascii="仿宋_GB2312"/>
                <w:sz w:val="24"/>
              </w:rPr>
            </w:pPr>
            <w:r>
              <w:rPr>
                <w:rFonts w:hint="eastAsia" w:ascii="仿宋_GB2312"/>
                <w:color w:val="000000"/>
                <w:kern w:val="0"/>
                <w:sz w:val="24"/>
                <w:lang w:bidi="ar"/>
              </w:rPr>
              <w:t>5.00</w:t>
            </w:r>
          </w:p>
        </w:tc>
        <w:tc>
          <w:tcPr>
            <w:tcW w:w="1694" w:type="dxa"/>
            <w:vAlign w:val="center"/>
          </w:tcPr>
          <w:p>
            <w:pPr>
              <w:widowControl/>
              <w:spacing w:line="400" w:lineRule="exact"/>
              <w:ind w:firstLine="0" w:firstLineChars="0"/>
              <w:jc w:val="center"/>
              <w:textAlignment w:val="center"/>
              <w:rPr>
                <w:rFonts w:ascii="仿宋_GB2312"/>
                <w:sz w:val="24"/>
              </w:rPr>
            </w:pPr>
            <w:r>
              <w:rPr>
                <w:rFonts w:hint="eastAsia" w:ascii="仿宋_GB2312"/>
                <w:color w:val="000000"/>
                <w:kern w:val="0"/>
                <w:sz w:val="24"/>
                <w:lang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spacing w:line="400" w:lineRule="exact"/>
              <w:ind w:firstLine="0" w:firstLineChars="0"/>
              <w:jc w:val="center"/>
              <w:rPr>
                <w:rFonts w:ascii="仿宋_GB2312"/>
                <w:b/>
                <w:bCs/>
                <w:sz w:val="24"/>
              </w:rPr>
            </w:pPr>
            <w:r>
              <w:rPr>
                <w:rFonts w:hint="eastAsia" w:ascii="仿宋_GB2312"/>
                <w:b/>
                <w:bCs/>
                <w:sz w:val="24"/>
              </w:rPr>
              <w:t>小计</w:t>
            </w:r>
          </w:p>
        </w:tc>
        <w:tc>
          <w:tcPr>
            <w:tcW w:w="994" w:type="pct"/>
            <w:vAlign w:val="center"/>
          </w:tcPr>
          <w:p>
            <w:pPr>
              <w:spacing w:line="400" w:lineRule="exact"/>
              <w:ind w:firstLine="0" w:firstLineChars="0"/>
              <w:jc w:val="center"/>
              <w:rPr>
                <w:rFonts w:ascii="仿宋_GB2312"/>
                <w:b/>
                <w:bCs/>
                <w:sz w:val="24"/>
              </w:rPr>
            </w:pPr>
            <w:r>
              <w:rPr>
                <w:rFonts w:hint="eastAsia" w:ascii="仿宋_GB2312"/>
                <w:b/>
                <w:bCs/>
                <w:sz w:val="24"/>
              </w:rPr>
              <w:t>24</w:t>
            </w:r>
          </w:p>
        </w:tc>
        <w:tc>
          <w:tcPr>
            <w:tcW w:w="1734" w:type="dxa"/>
            <w:vAlign w:val="center"/>
          </w:tcPr>
          <w:p>
            <w:pPr>
              <w:widowControl/>
              <w:spacing w:line="400" w:lineRule="exact"/>
              <w:ind w:firstLine="0" w:firstLineChars="0"/>
              <w:jc w:val="center"/>
              <w:textAlignment w:val="center"/>
              <w:rPr>
                <w:rFonts w:ascii="仿宋_GB2312"/>
                <w:b/>
                <w:bCs/>
                <w:sz w:val="24"/>
              </w:rPr>
            </w:pPr>
            <w:r>
              <w:rPr>
                <w:rFonts w:hint="eastAsia" w:ascii="仿宋_GB2312"/>
                <w:color w:val="000000"/>
                <w:kern w:val="0"/>
                <w:sz w:val="24"/>
                <w:lang w:bidi="ar"/>
              </w:rPr>
              <w:t>24.00</w:t>
            </w:r>
          </w:p>
        </w:tc>
        <w:tc>
          <w:tcPr>
            <w:tcW w:w="1734" w:type="dxa"/>
            <w:vAlign w:val="center"/>
          </w:tcPr>
          <w:p>
            <w:pPr>
              <w:widowControl/>
              <w:spacing w:line="400" w:lineRule="exact"/>
              <w:ind w:firstLine="0" w:firstLineChars="0"/>
              <w:jc w:val="center"/>
              <w:textAlignment w:val="center"/>
              <w:rPr>
                <w:rFonts w:ascii="仿宋_GB2312"/>
                <w:b/>
                <w:bCs/>
                <w:sz w:val="24"/>
              </w:rPr>
            </w:pPr>
            <w:r>
              <w:rPr>
                <w:rFonts w:hint="eastAsia" w:ascii="仿宋_GB2312"/>
                <w:color w:val="000000"/>
                <w:kern w:val="0"/>
                <w:sz w:val="24"/>
                <w:lang w:bidi="ar"/>
              </w:rPr>
              <w:t>100.00%</w:t>
            </w:r>
          </w:p>
        </w:tc>
      </w:tr>
    </w:tbl>
    <w:p>
      <w:pPr>
        <w:keepNext w:val="0"/>
        <w:keepLines w:val="0"/>
        <w:pageBreakBefore w:val="0"/>
        <w:widowControl w:val="0"/>
        <w:kinsoku/>
        <w:wordWrap/>
        <w:overflowPunct/>
        <w:topLinePunct w:val="0"/>
        <w:autoSpaceDE/>
        <w:autoSpaceDN/>
        <w:bidi w:val="0"/>
        <w:adjustRightInd/>
        <w:snapToGrid/>
        <w:ind w:firstLine="643"/>
        <w:textAlignment w:val="auto"/>
        <w:outlineLvl w:val="2"/>
        <w:rPr>
          <w:rFonts w:ascii="仿宋_GB2312"/>
          <w:b/>
          <w:bCs/>
        </w:rPr>
      </w:pPr>
      <w:bookmarkStart w:id="115" w:name="_Toc25851"/>
      <w:bookmarkStart w:id="116" w:name="_Toc21702"/>
      <w:bookmarkStart w:id="117" w:name="_Toc20265"/>
      <w:bookmarkStart w:id="118" w:name="_Toc3028"/>
      <w:bookmarkStart w:id="119" w:name="_Toc25103"/>
      <w:r>
        <w:rPr>
          <w:rFonts w:hint="eastAsia" w:ascii="仿宋_GB2312"/>
          <w:b/>
          <w:bCs/>
        </w:rPr>
        <w:t>4.2.1资金到位率</w:t>
      </w:r>
      <w:bookmarkEnd w:id="115"/>
      <w:bookmarkEnd w:id="116"/>
      <w:bookmarkEnd w:id="117"/>
      <w:bookmarkEnd w:id="118"/>
      <w:bookmarkEnd w:id="119"/>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指标解释：</w:t>
      </w:r>
      <w:r>
        <w:rPr>
          <w:rFonts w:hint="eastAsia" w:ascii="仿宋_GB2312"/>
        </w:rPr>
        <w:t>实际到位资金与预算资金的比率，用以反映和考核资金落实情况对项目实施的总体保障程度。</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评价要点：</w:t>
      </w:r>
      <w:r>
        <w:rPr>
          <w:rFonts w:hint="eastAsia" w:ascii="仿宋_GB2312"/>
        </w:rPr>
        <w:t>资金到位率=（实际到位资金/预算资金）×100%。</w:t>
      </w:r>
    </w:p>
    <w:p>
      <w:pPr>
        <w:keepNext w:val="0"/>
        <w:keepLines w:val="0"/>
        <w:pageBreakBefore w:val="0"/>
        <w:widowControl w:val="0"/>
        <w:kinsoku/>
        <w:wordWrap/>
        <w:overflowPunct/>
        <w:topLinePunct w:val="0"/>
        <w:autoSpaceDE/>
        <w:autoSpaceDN/>
        <w:bidi w:val="0"/>
        <w:adjustRightInd/>
        <w:snapToGrid/>
        <w:textAlignment w:val="auto"/>
        <w:rPr>
          <w:rFonts w:ascii="仿宋_GB2312"/>
        </w:rPr>
      </w:pPr>
      <w:r>
        <w:rPr>
          <w:rFonts w:hint="eastAsia" w:ascii="仿宋_GB2312"/>
        </w:rPr>
        <w:t>实际到位资金：一定时期（本年度或项目期）内落实到具体项目的资金。</w:t>
      </w:r>
    </w:p>
    <w:p>
      <w:pPr>
        <w:keepNext w:val="0"/>
        <w:keepLines w:val="0"/>
        <w:pageBreakBefore w:val="0"/>
        <w:widowControl w:val="0"/>
        <w:kinsoku/>
        <w:wordWrap/>
        <w:overflowPunct/>
        <w:topLinePunct w:val="0"/>
        <w:autoSpaceDE/>
        <w:autoSpaceDN/>
        <w:bidi w:val="0"/>
        <w:adjustRightInd/>
        <w:snapToGrid/>
        <w:textAlignment w:val="auto"/>
        <w:rPr>
          <w:rFonts w:ascii="仿宋_GB2312"/>
        </w:rPr>
      </w:pPr>
      <w:r>
        <w:rPr>
          <w:rFonts w:hint="eastAsia" w:ascii="仿宋_GB2312"/>
        </w:rPr>
        <w:t>预算资金：一定时期（本年度或项目期）内预算安排到具体项目的资金。</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评分标准：</w:t>
      </w:r>
      <w:r>
        <w:rPr>
          <w:rFonts w:hint="eastAsia" w:ascii="仿宋_GB2312"/>
        </w:rPr>
        <w:t>100%得满分权重分，每下降1%扣1%权重分，直至零分。</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绩效分析：</w:t>
      </w:r>
      <w:r>
        <w:rPr>
          <w:rFonts w:hint="eastAsia" w:ascii="仿宋_GB2312"/>
        </w:rPr>
        <w:t>省道S303屯大线雨水岭大道至大拉段改建工程项目2024年全年预算数32,700.00万元，实际到位资金</w:t>
      </w:r>
      <w:r>
        <w:rPr>
          <w:rFonts w:hint="eastAsia" w:ascii="仿宋_GB2312"/>
          <w:kern w:val="0"/>
          <w:szCs w:val="32"/>
        </w:rPr>
        <w:t>32,700.00</w:t>
      </w:r>
      <w:r>
        <w:rPr>
          <w:rFonts w:hint="eastAsia" w:ascii="仿宋_GB2312"/>
        </w:rPr>
        <w:t>万元，资金到位率100%，该指标得满分。</w:t>
      </w:r>
    </w:p>
    <w:p>
      <w:pPr>
        <w:keepNext w:val="0"/>
        <w:keepLines w:val="0"/>
        <w:pageBreakBefore w:val="0"/>
        <w:widowControl w:val="0"/>
        <w:kinsoku/>
        <w:wordWrap/>
        <w:overflowPunct/>
        <w:topLinePunct w:val="0"/>
        <w:autoSpaceDE/>
        <w:autoSpaceDN/>
        <w:bidi w:val="0"/>
        <w:adjustRightInd/>
        <w:snapToGrid/>
        <w:ind w:firstLine="643"/>
        <w:textAlignment w:val="auto"/>
        <w:outlineLvl w:val="2"/>
        <w:rPr>
          <w:rFonts w:ascii="仿宋_GB2312"/>
          <w:b/>
          <w:bCs/>
        </w:rPr>
      </w:pPr>
      <w:bookmarkStart w:id="120" w:name="_Toc12215"/>
      <w:bookmarkStart w:id="121" w:name="_Toc15583"/>
      <w:bookmarkStart w:id="122" w:name="_Toc28471"/>
      <w:bookmarkStart w:id="123" w:name="_Toc27071"/>
      <w:bookmarkStart w:id="124" w:name="_Toc14763"/>
      <w:r>
        <w:rPr>
          <w:rFonts w:hint="eastAsia" w:ascii="仿宋_GB2312"/>
          <w:b/>
          <w:bCs/>
        </w:rPr>
        <w:t>4.2.2预算执行率</w:t>
      </w:r>
      <w:bookmarkEnd w:id="120"/>
      <w:bookmarkEnd w:id="121"/>
      <w:bookmarkEnd w:id="122"/>
      <w:bookmarkEnd w:id="123"/>
      <w:bookmarkEnd w:id="124"/>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指标解释：</w:t>
      </w:r>
      <w:r>
        <w:rPr>
          <w:rFonts w:hint="eastAsia" w:ascii="仿宋_GB2312"/>
        </w:rPr>
        <w:t>项目预算资金是否按照计划执行，用以反映或考核项目预算执行情况。</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评价要点：</w:t>
      </w:r>
      <w:r>
        <w:rPr>
          <w:rFonts w:hint="eastAsia" w:ascii="仿宋_GB2312"/>
        </w:rPr>
        <w:t>预算执行率=（实际支出资金/实际到位资金）×100%。</w:t>
      </w:r>
    </w:p>
    <w:p>
      <w:pPr>
        <w:keepNext w:val="0"/>
        <w:keepLines w:val="0"/>
        <w:pageBreakBefore w:val="0"/>
        <w:widowControl w:val="0"/>
        <w:kinsoku/>
        <w:wordWrap/>
        <w:overflowPunct/>
        <w:topLinePunct w:val="0"/>
        <w:autoSpaceDE/>
        <w:autoSpaceDN/>
        <w:bidi w:val="0"/>
        <w:adjustRightInd/>
        <w:snapToGrid/>
        <w:textAlignment w:val="auto"/>
        <w:rPr>
          <w:rFonts w:ascii="仿宋_GB2312"/>
        </w:rPr>
      </w:pPr>
      <w:r>
        <w:rPr>
          <w:rFonts w:hint="eastAsia" w:ascii="仿宋_GB2312"/>
        </w:rPr>
        <w:t>实际支出资金：一定时期（本年度或项目期）内项目实际拨付的资金。</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评分标准：</w:t>
      </w:r>
      <w:r>
        <w:rPr>
          <w:rFonts w:hint="eastAsia" w:ascii="仿宋_GB2312"/>
        </w:rPr>
        <w:t>100%得满分权重分，每下降1%扣1%权重分，直至零分。</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绩效分析：</w:t>
      </w:r>
      <w:bookmarkStart w:id="125" w:name="_Toc6023"/>
      <w:bookmarkStart w:id="126" w:name="_Toc16533"/>
      <w:bookmarkStart w:id="127" w:name="_Toc30369"/>
      <w:r>
        <w:rPr>
          <w:rFonts w:hint="eastAsia" w:ascii="仿宋_GB2312"/>
        </w:rPr>
        <w:t>省道S303屯大线雨水岭大道至大拉段改建工程项目2024年实际到位资金32,700.00万元，2024年实际支出32,700.00万元，预算执行率100%。该指标得满分。</w:t>
      </w:r>
    </w:p>
    <w:p>
      <w:pPr>
        <w:keepNext w:val="0"/>
        <w:keepLines w:val="0"/>
        <w:pageBreakBefore w:val="0"/>
        <w:widowControl w:val="0"/>
        <w:kinsoku/>
        <w:wordWrap/>
        <w:overflowPunct/>
        <w:topLinePunct w:val="0"/>
        <w:autoSpaceDE/>
        <w:autoSpaceDN/>
        <w:bidi w:val="0"/>
        <w:adjustRightInd/>
        <w:snapToGrid/>
        <w:ind w:firstLine="643"/>
        <w:textAlignment w:val="auto"/>
        <w:outlineLvl w:val="2"/>
        <w:rPr>
          <w:rFonts w:ascii="仿宋_GB2312"/>
          <w:b/>
          <w:bCs/>
        </w:rPr>
      </w:pPr>
      <w:bookmarkStart w:id="128" w:name="_Toc29125"/>
      <w:bookmarkStart w:id="129" w:name="_Toc3659"/>
      <w:r>
        <w:rPr>
          <w:rFonts w:hint="eastAsia" w:ascii="仿宋_GB2312"/>
          <w:b/>
          <w:bCs/>
        </w:rPr>
        <w:t>4.2.3资金使用合规性</w:t>
      </w:r>
      <w:bookmarkEnd w:id="125"/>
      <w:bookmarkEnd w:id="126"/>
      <w:bookmarkEnd w:id="127"/>
      <w:bookmarkEnd w:id="128"/>
      <w:bookmarkEnd w:id="129"/>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指标解释：</w:t>
      </w:r>
      <w:r>
        <w:rPr>
          <w:rFonts w:hint="eastAsia" w:ascii="仿宋_GB2312"/>
        </w:rPr>
        <w:t>项目资金使用是否符合相关的财务管理制度规定，用以反映和考核项目资金的规范运行情况。</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评价要点：</w:t>
      </w:r>
      <w:r>
        <w:rPr>
          <w:rFonts w:hint="eastAsia" w:ascii="仿宋_GB2312"/>
        </w:rPr>
        <w:t>①是否符合国家财经法规和财务管理制度以及有关专项资金管理办法的规定；②资金的拨付是否有完整的审批程序和手续；③是否符合项目预算批复或合同规定的用途；④是否存在截留、挤占、挪用、虚列支出等情况。</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评分标准：</w:t>
      </w:r>
      <w:r>
        <w:rPr>
          <w:rFonts w:hint="eastAsia" w:ascii="仿宋_GB2312"/>
        </w:rPr>
        <w:t>条件④不满足，该指标不得分；条件④满足，其余三项每满足1项得1/3权重分。</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绩效分析：</w:t>
      </w:r>
      <w:r>
        <w:rPr>
          <w:rFonts w:hint="eastAsia" w:ascii="仿宋_GB2312"/>
        </w:rPr>
        <w:t>根据提供的项目支出相关材料，项目资金主要用于省道S303屯大线雨水岭大道至大拉段改建工程项目的相关建设支出，符合《海南省交通运输厅机关经费支出管理规定》。项目资金使用符合部门财务管理制度规定，资金拨付有完整的审批程序，资金支出范围符合项目预算批复的用途，未发现残留、挤占、挪用、虚列支出等情况。该指标得满分。</w:t>
      </w:r>
    </w:p>
    <w:p>
      <w:pPr>
        <w:keepNext w:val="0"/>
        <w:keepLines w:val="0"/>
        <w:pageBreakBefore w:val="0"/>
        <w:widowControl w:val="0"/>
        <w:kinsoku/>
        <w:wordWrap/>
        <w:overflowPunct/>
        <w:topLinePunct w:val="0"/>
        <w:autoSpaceDE/>
        <w:autoSpaceDN/>
        <w:bidi w:val="0"/>
        <w:adjustRightInd/>
        <w:snapToGrid/>
        <w:ind w:firstLine="643"/>
        <w:textAlignment w:val="auto"/>
        <w:outlineLvl w:val="2"/>
        <w:rPr>
          <w:rFonts w:ascii="仿宋_GB2312"/>
          <w:b/>
          <w:bCs/>
        </w:rPr>
      </w:pPr>
      <w:bookmarkStart w:id="130" w:name="_Toc14856"/>
      <w:bookmarkStart w:id="131" w:name="_Toc15317"/>
      <w:bookmarkStart w:id="132" w:name="_Toc5200"/>
      <w:bookmarkStart w:id="133" w:name="_Toc19642"/>
      <w:bookmarkStart w:id="134" w:name="_Toc12508"/>
      <w:r>
        <w:rPr>
          <w:rFonts w:hint="eastAsia" w:ascii="仿宋_GB2312"/>
          <w:b/>
          <w:bCs/>
        </w:rPr>
        <w:t>4.2.4管理制度健全性</w:t>
      </w:r>
      <w:bookmarkEnd w:id="130"/>
      <w:bookmarkEnd w:id="131"/>
      <w:bookmarkEnd w:id="132"/>
      <w:bookmarkEnd w:id="133"/>
      <w:bookmarkEnd w:id="134"/>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指标解释：</w:t>
      </w:r>
      <w:r>
        <w:rPr>
          <w:rFonts w:hint="eastAsia" w:ascii="仿宋_GB2312"/>
        </w:rPr>
        <w:t>项目实施单位的财务和业务管理制度是否健全，用以反映和考核财务和业务管理制度对项目顺利实施的保障情况。</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评价要点：</w:t>
      </w:r>
      <w:r>
        <w:rPr>
          <w:rFonts w:hint="eastAsia" w:ascii="仿宋_GB2312"/>
        </w:rPr>
        <w:t>①是否已制定或具有相应的财务和业务管理制度；②财务和业务管理制度是否合法、合规、完整。</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评分标准：</w:t>
      </w:r>
      <w:r>
        <w:rPr>
          <w:rFonts w:hint="eastAsia" w:ascii="仿宋_GB2312"/>
        </w:rPr>
        <w:t>满足一项得50%权重分。</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绩效分析：</w:t>
      </w:r>
      <w:r>
        <w:rPr>
          <w:rFonts w:hint="eastAsia" w:ascii="仿宋_GB2312"/>
        </w:rPr>
        <w:t>部门制定了《海南省交通运输厅机关经费支出管理规定》，具有相应的财务和业务管理制度，财务和业务管理制度合法、合规、完整。该指标得满分。</w:t>
      </w:r>
    </w:p>
    <w:p>
      <w:pPr>
        <w:keepNext w:val="0"/>
        <w:keepLines w:val="0"/>
        <w:pageBreakBefore w:val="0"/>
        <w:widowControl w:val="0"/>
        <w:kinsoku/>
        <w:wordWrap/>
        <w:overflowPunct/>
        <w:topLinePunct w:val="0"/>
        <w:autoSpaceDE/>
        <w:autoSpaceDN/>
        <w:bidi w:val="0"/>
        <w:adjustRightInd/>
        <w:snapToGrid/>
        <w:ind w:firstLine="643"/>
        <w:textAlignment w:val="auto"/>
        <w:outlineLvl w:val="2"/>
        <w:rPr>
          <w:rFonts w:ascii="仿宋_GB2312"/>
          <w:b/>
          <w:bCs/>
        </w:rPr>
      </w:pPr>
      <w:bookmarkStart w:id="135" w:name="_Toc27393"/>
      <w:bookmarkStart w:id="136" w:name="_Toc24989"/>
      <w:bookmarkStart w:id="137" w:name="_Toc24403"/>
      <w:bookmarkStart w:id="138" w:name="_Toc3857"/>
      <w:bookmarkStart w:id="139" w:name="_Toc17449"/>
      <w:r>
        <w:rPr>
          <w:rFonts w:hint="eastAsia" w:ascii="仿宋_GB2312"/>
          <w:b/>
          <w:bCs/>
        </w:rPr>
        <w:t>4.2.5制度执行有效性</w:t>
      </w:r>
      <w:bookmarkEnd w:id="135"/>
      <w:bookmarkEnd w:id="136"/>
      <w:bookmarkEnd w:id="137"/>
      <w:bookmarkEnd w:id="138"/>
      <w:bookmarkEnd w:id="139"/>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指标解释：</w:t>
      </w:r>
      <w:r>
        <w:rPr>
          <w:rFonts w:hint="eastAsia" w:ascii="仿宋_GB2312"/>
        </w:rPr>
        <w:t>项目实施是否符合相关管理规定，用以反映和考核相关管理制度的有效执行情况。</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评价要点：</w:t>
      </w:r>
      <w:r>
        <w:rPr>
          <w:rFonts w:hint="eastAsia" w:ascii="仿宋_GB2312"/>
        </w:rPr>
        <w:t>①是否遵守相关法律法规和相关管理规定；②项目调整及支出调整手续是否完备；③项目合同书、验收报告、技术鉴定等资料是否齐全并及时归档；④项目实施的人员条件、场地设备、信息支撑等是否落实到位。</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评分标准：</w:t>
      </w:r>
      <w:r>
        <w:rPr>
          <w:rFonts w:hint="eastAsia" w:ascii="仿宋_GB2312"/>
        </w:rPr>
        <w:t>满足一项得25%权重分。</w:t>
      </w:r>
    </w:p>
    <w:p>
      <w:pPr>
        <w:pStyle w:val="16"/>
        <w:keepNext w:val="0"/>
        <w:keepLines w:val="0"/>
        <w:pageBreakBefore w:val="0"/>
        <w:widowControl w:val="0"/>
        <w:kinsoku/>
        <w:wordWrap/>
        <w:overflowPunct/>
        <w:topLinePunct w:val="0"/>
        <w:autoSpaceDE/>
        <w:autoSpaceDN/>
        <w:bidi w:val="0"/>
        <w:adjustRightInd/>
        <w:snapToGrid/>
        <w:spacing w:after="0"/>
        <w:ind w:left="0" w:leftChars="0" w:firstLine="643"/>
        <w:textAlignment w:val="auto"/>
        <w:rPr>
          <w:rFonts w:ascii="仿宋_GB2312"/>
        </w:rPr>
      </w:pPr>
      <w:r>
        <w:rPr>
          <w:rFonts w:hint="eastAsia" w:ascii="仿宋_GB2312"/>
          <w:b/>
          <w:bCs/>
        </w:rPr>
        <w:t>绩效分析：</w:t>
      </w:r>
      <w:r>
        <w:rPr>
          <w:rFonts w:hint="eastAsia" w:ascii="仿宋_GB2312"/>
        </w:rPr>
        <w:t>根据提供的2024年项目支出明细等相关材料，项目按照规定进行支付，项目支出有完整的审批手续和程序，项目实施遵守相关管理规定，制度执行有效，该指标得满分。</w:t>
      </w:r>
    </w:p>
    <w:p>
      <w:pPr>
        <w:pStyle w:val="7"/>
        <w:keepNext w:val="0"/>
        <w:keepLines w:val="0"/>
        <w:pageBreakBefore w:val="0"/>
        <w:widowControl w:val="0"/>
        <w:numPr>
          <w:ilvl w:val="0"/>
          <w:numId w:val="3"/>
        </w:numPr>
        <w:kinsoku/>
        <w:wordWrap/>
        <w:overflowPunct/>
        <w:topLinePunct w:val="0"/>
        <w:autoSpaceDE/>
        <w:autoSpaceDN/>
        <w:bidi w:val="0"/>
        <w:adjustRightInd/>
        <w:snapToGrid/>
        <w:ind w:firstLine="643"/>
        <w:textAlignment w:val="auto"/>
        <w:outlineLvl w:val="1"/>
        <w:rPr>
          <w:rFonts w:ascii="楷体_GB2312" w:hAnsi="Times New Roman" w:eastAsia="楷体_GB2312" w:cs="Times New Roman"/>
          <w:b/>
          <w:bCs/>
        </w:rPr>
      </w:pPr>
      <w:bookmarkStart w:id="140" w:name="_Toc27550"/>
      <w:r>
        <w:rPr>
          <w:rFonts w:hint="eastAsia" w:ascii="楷体_GB2312" w:hAnsi="Times New Roman" w:eastAsia="楷体_GB2312" w:cs="Times New Roman"/>
          <w:b/>
          <w:bCs/>
        </w:rPr>
        <w:t>项目产出情况</w:t>
      </w:r>
      <w:bookmarkEnd w:id="140"/>
    </w:p>
    <w:p>
      <w:pPr>
        <w:keepNext w:val="0"/>
        <w:keepLines w:val="0"/>
        <w:pageBreakBefore w:val="0"/>
        <w:widowControl w:val="0"/>
        <w:kinsoku/>
        <w:wordWrap/>
        <w:overflowPunct/>
        <w:topLinePunct w:val="0"/>
        <w:autoSpaceDE/>
        <w:autoSpaceDN/>
        <w:bidi w:val="0"/>
        <w:adjustRightInd/>
        <w:snapToGrid/>
        <w:textAlignment w:val="auto"/>
        <w:rPr>
          <w:rFonts w:ascii="仿宋_GB2312"/>
        </w:rPr>
      </w:pPr>
      <w:r>
        <w:rPr>
          <w:rFonts w:hint="eastAsia" w:ascii="仿宋_GB2312"/>
        </w:rPr>
        <w:t>项目产出指标从产出数量、产出质量、产出时效和经济成本四个方面对项目进行考察，共计30分。本项目实际得分为30.00分，得分率为100.00%。各个指标的实际得分情况见下表</w:t>
      </w:r>
      <w:r>
        <w:rPr>
          <w:rFonts w:hint="eastAsia" w:ascii="仿宋_GB2312"/>
          <w:lang w:eastAsia="zh-Hans"/>
        </w:rPr>
        <w:t>：</w:t>
      </w:r>
    </w:p>
    <w:p>
      <w:pPr>
        <w:pStyle w:val="24"/>
        <w:ind w:firstLine="562"/>
        <w:rPr>
          <w:rFonts w:ascii="仿宋_GB2312"/>
          <w:sz w:val="28"/>
          <w:szCs w:val="32"/>
        </w:rPr>
      </w:pPr>
      <w:r>
        <w:rPr>
          <w:rFonts w:hint="eastAsia" w:ascii="仿宋_GB2312"/>
          <w:sz w:val="28"/>
          <w:szCs w:val="32"/>
          <w:lang w:eastAsia="zh-Hans"/>
        </w:rPr>
        <w:t>产出</w:t>
      </w:r>
      <w:r>
        <w:rPr>
          <w:rFonts w:hint="eastAsia" w:ascii="仿宋_GB2312"/>
          <w:sz w:val="28"/>
          <w:szCs w:val="32"/>
        </w:rPr>
        <w:t>类指标得分情况表</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36"/>
        <w:gridCol w:w="1084"/>
        <w:gridCol w:w="1688"/>
        <w:gridCol w:w="1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2367" w:type="pct"/>
            <w:vAlign w:val="center"/>
          </w:tcPr>
          <w:p>
            <w:pPr>
              <w:spacing w:line="440" w:lineRule="exact"/>
              <w:ind w:firstLine="0" w:firstLineChars="0"/>
              <w:jc w:val="center"/>
              <w:rPr>
                <w:rFonts w:ascii="仿宋_GB2312"/>
                <w:b/>
                <w:bCs/>
                <w:sz w:val="24"/>
              </w:rPr>
            </w:pPr>
            <w:r>
              <w:rPr>
                <w:rFonts w:hint="eastAsia" w:ascii="仿宋_GB2312"/>
                <w:b/>
                <w:bCs/>
                <w:sz w:val="24"/>
              </w:rPr>
              <w:t>评价指标</w:t>
            </w:r>
          </w:p>
        </w:tc>
        <w:tc>
          <w:tcPr>
            <w:tcW w:w="636" w:type="pct"/>
            <w:vAlign w:val="center"/>
          </w:tcPr>
          <w:p>
            <w:pPr>
              <w:spacing w:line="440" w:lineRule="exact"/>
              <w:ind w:firstLine="0" w:firstLineChars="0"/>
              <w:jc w:val="center"/>
              <w:rPr>
                <w:rFonts w:ascii="仿宋_GB2312"/>
                <w:b/>
                <w:bCs/>
                <w:sz w:val="24"/>
              </w:rPr>
            </w:pPr>
            <w:r>
              <w:rPr>
                <w:rFonts w:hint="eastAsia" w:ascii="仿宋_GB2312"/>
                <w:b/>
                <w:bCs/>
                <w:sz w:val="24"/>
              </w:rPr>
              <w:t>分值</w:t>
            </w:r>
          </w:p>
        </w:tc>
        <w:tc>
          <w:tcPr>
            <w:tcW w:w="990" w:type="pct"/>
            <w:vAlign w:val="center"/>
          </w:tcPr>
          <w:p>
            <w:pPr>
              <w:spacing w:line="440" w:lineRule="exact"/>
              <w:ind w:firstLine="0" w:firstLineChars="0"/>
              <w:jc w:val="center"/>
              <w:rPr>
                <w:rFonts w:ascii="仿宋_GB2312"/>
                <w:b/>
                <w:bCs/>
                <w:sz w:val="24"/>
              </w:rPr>
            </w:pPr>
            <w:r>
              <w:rPr>
                <w:rFonts w:hint="eastAsia" w:ascii="仿宋_GB2312"/>
                <w:b/>
                <w:bCs/>
                <w:sz w:val="24"/>
              </w:rPr>
              <w:t>得分</w:t>
            </w:r>
          </w:p>
        </w:tc>
        <w:tc>
          <w:tcPr>
            <w:tcW w:w="1007" w:type="pct"/>
            <w:vAlign w:val="center"/>
          </w:tcPr>
          <w:p>
            <w:pPr>
              <w:spacing w:line="440" w:lineRule="exact"/>
              <w:ind w:firstLine="0" w:firstLineChars="0"/>
              <w:jc w:val="center"/>
              <w:rPr>
                <w:rFonts w:ascii="仿宋_GB2312"/>
                <w:b/>
                <w:bCs/>
                <w:sz w:val="24"/>
              </w:rPr>
            </w:pPr>
            <w:r>
              <w:rPr>
                <w:rFonts w:hint="eastAsia" w:ascii="仿宋_GB2312"/>
                <w:b/>
                <w:bCs/>
                <w:sz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367" w:type="pct"/>
            <w:vAlign w:val="center"/>
          </w:tcPr>
          <w:p>
            <w:pPr>
              <w:widowControl/>
              <w:ind w:firstLine="0" w:firstLineChars="0"/>
              <w:jc w:val="center"/>
              <w:textAlignment w:val="center"/>
              <w:rPr>
                <w:rFonts w:ascii="仿宋_GB2312"/>
                <w:sz w:val="24"/>
              </w:rPr>
            </w:pPr>
            <w:r>
              <w:rPr>
                <w:rFonts w:hint="eastAsia" w:ascii="仿宋_GB2312" w:hAnsi="等线"/>
                <w:color w:val="000000"/>
                <w:sz w:val="24"/>
              </w:rPr>
              <w:t>计划投资完成率</w:t>
            </w:r>
          </w:p>
        </w:tc>
        <w:tc>
          <w:tcPr>
            <w:tcW w:w="636" w:type="pct"/>
            <w:vAlign w:val="center"/>
          </w:tcPr>
          <w:p>
            <w:pPr>
              <w:spacing w:line="440" w:lineRule="exact"/>
              <w:ind w:firstLine="0" w:firstLineChars="0"/>
              <w:jc w:val="center"/>
              <w:rPr>
                <w:rFonts w:ascii="仿宋_GB2312"/>
                <w:sz w:val="24"/>
              </w:rPr>
            </w:pPr>
            <w:r>
              <w:rPr>
                <w:rFonts w:hint="eastAsia" w:ascii="仿宋_GB2312"/>
                <w:sz w:val="24"/>
              </w:rPr>
              <w:t>8</w:t>
            </w:r>
          </w:p>
        </w:tc>
        <w:tc>
          <w:tcPr>
            <w:tcW w:w="990" w:type="pct"/>
            <w:vAlign w:val="center"/>
          </w:tcPr>
          <w:p>
            <w:pPr>
              <w:widowControl/>
              <w:ind w:firstLine="480"/>
              <w:jc w:val="center"/>
              <w:textAlignment w:val="center"/>
              <w:rPr>
                <w:rFonts w:ascii="仿宋_GB2312"/>
                <w:sz w:val="24"/>
              </w:rPr>
            </w:pPr>
            <w:r>
              <w:rPr>
                <w:rFonts w:hint="eastAsia" w:ascii="仿宋_GB2312"/>
                <w:color w:val="000000"/>
                <w:kern w:val="0"/>
                <w:sz w:val="24"/>
                <w:lang w:bidi="ar"/>
              </w:rPr>
              <w:t>8.00</w:t>
            </w:r>
          </w:p>
        </w:tc>
        <w:tc>
          <w:tcPr>
            <w:tcW w:w="1007" w:type="pct"/>
            <w:vAlign w:val="center"/>
          </w:tcPr>
          <w:p>
            <w:pPr>
              <w:widowControl/>
              <w:ind w:firstLine="480"/>
              <w:jc w:val="center"/>
              <w:textAlignment w:val="center"/>
              <w:rPr>
                <w:rFonts w:ascii="仿宋_GB2312"/>
                <w:sz w:val="24"/>
              </w:rPr>
            </w:pPr>
            <w:r>
              <w:rPr>
                <w:rFonts w:hint="eastAsia" w:ascii="仿宋_GB2312"/>
                <w:color w:val="000000"/>
                <w:kern w:val="0"/>
                <w:sz w:val="24"/>
                <w:lang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367" w:type="pct"/>
            <w:vAlign w:val="center"/>
          </w:tcPr>
          <w:p>
            <w:pPr>
              <w:widowControl/>
              <w:ind w:firstLine="0" w:firstLineChars="0"/>
              <w:jc w:val="center"/>
              <w:textAlignment w:val="center"/>
              <w:rPr>
                <w:rFonts w:hint="eastAsia" w:ascii="仿宋_GB2312" w:hAnsi="宋体" w:cs="仿宋_GB2312"/>
                <w:color w:val="000000"/>
                <w:kern w:val="0"/>
                <w:sz w:val="24"/>
                <w:lang w:bidi="ar"/>
              </w:rPr>
            </w:pPr>
            <w:bookmarkStart w:id="141" w:name="_Hlk198368348"/>
            <w:r>
              <w:rPr>
                <w:rFonts w:hint="eastAsia" w:ascii="仿宋_GB2312" w:hAnsi="等线"/>
                <w:color w:val="000000"/>
                <w:sz w:val="24"/>
              </w:rPr>
              <w:t>主体工程合格率</w:t>
            </w:r>
            <w:bookmarkEnd w:id="141"/>
          </w:p>
        </w:tc>
        <w:tc>
          <w:tcPr>
            <w:tcW w:w="636" w:type="pct"/>
            <w:vAlign w:val="center"/>
          </w:tcPr>
          <w:p>
            <w:pPr>
              <w:spacing w:line="440" w:lineRule="exact"/>
              <w:ind w:firstLine="0" w:firstLineChars="0"/>
              <w:jc w:val="center"/>
              <w:rPr>
                <w:rFonts w:ascii="仿宋_GB2312"/>
                <w:sz w:val="24"/>
              </w:rPr>
            </w:pPr>
            <w:r>
              <w:rPr>
                <w:rFonts w:hint="eastAsia" w:ascii="仿宋_GB2312"/>
                <w:sz w:val="24"/>
              </w:rPr>
              <w:t>8</w:t>
            </w:r>
          </w:p>
        </w:tc>
        <w:tc>
          <w:tcPr>
            <w:tcW w:w="990" w:type="pct"/>
            <w:vAlign w:val="center"/>
          </w:tcPr>
          <w:p>
            <w:pPr>
              <w:widowControl/>
              <w:ind w:firstLine="480"/>
              <w:jc w:val="center"/>
              <w:textAlignment w:val="center"/>
              <w:rPr>
                <w:rFonts w:ascii="仿宋_GB2312"/>
                <w:color w:val="000000"/>
                <w:kern w:val="0"/>
                <w:sz w:val="24"/>
                <w:lang w:bidi="ar"/>
              </w:rPr>
            </w:pPr>
            <w:r>
              <w:rPr>
                <w:rFonts w:hint="eastAsia" w:ascii="仿宋_GB2312"/>
                <w:color w:val="000000"/>
                <w:kern w:val="0"/>
                <w:sz w:val="24"/>
                <w:lang w:bidi="ar"/>
              </w:rPr>
              <w:t>8.00</w:t>
            </w:r>
          </w:p>
        </w:tc>
        <w:tc>
          <w:tcPr>
            <w:tcW w:w="1007" w:type="pct"/>
            <w:vAlign w:val="center"/>
          </w:tcPr>
          <w:p>
            <w:pPr>
              <w:widowControl/>
              <w:ind w:firstLine="480"/>
              <w:jc w:val="center"/>
              <w:textAlignment w:val="center"/>
              <w:rPr>
                <w:rFonts w:ascii="仿宋_GB2312"/>
                <w:color w:val="000000"/>
                <w:kern w:val="0"/>
                <w:sz w:val="24"/>
                <w:lang w:bidi="ar"/>
              </w:rPr>
            </w:pPr>
            <w:r>
              <w:rPr>
                <w:rFonts w:hint="eastAsia" w:ascii="仿宋_GB2312"/>
                <w:color w:val="000000"/>
                <w:kern w:val="0"/>
                <w:sz w:val="24"/>
                <w:lang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367" w:type="pct"/>
            <w:vAlign w:val="center"/>
          </w:tcPr>
          <w:p>
            <w:pPr>
              <w:spacing w:line="440" w:lineRule="exact"/>
              <w:ind w:firstLine="0" w:firstLineChars="0"/>
              <w:jc w:val="center"/>
              <w:rPr>
                <w:rFonts w:ascii="仿宋_GB2312"/>
                <w:b/>
                <w:bCs/>
                <w:sz w:val="24"/>
              </w:rPr>
            </w:pPr>
            <w:r>
              <w:rPr>
                <w:rFonts w:hint="eastAsia" w:ascii="仿宋_GB2312" w:hAnsi="等线"/>
                <w:color w:val="000000"/>
                <w:sz w:val="24"/>
              </w:rPr>
              <w:t>工程建设按期完工率</w:t>
            </w:r>
          </w:p>
        </w:tc>
        <w:tc>
          <w:tcPr>
            <w:tcW w:w="636" w:type="pct"/>
            <w:vAlign w:val="center"/>
          </w:tcPr>
          <w:p>
            <w:pPr>
              <w:spacing w:line="440" w:lineRule="exact"/>
              <w:ind w:firstLine="0" w:firstLineChars="0"/>
              <w:jc w:val="center"/>
              <w:rPr>
                <w:rFonts w:ascii="仿宋_GB2312"/>
                <w:sz w:val="24"/>
              </w:rPr>
            </w:pPr>
            <w:r>
              <w:rPr>
                <w:rFonts w:hint="eastAsia" w:ascii="仿宋_GB2312"/>
                <w:sz w:val="24"/>
              </w:rPr>
              <w:t>6</w:t>
            </w:r>
          </w:p>
        </w:tc>
        <w:tc>
          <w:tcPr>
            <w:tcW w:w="990" w:type="pct"/>
            <w:vAlign w:val="center"/>
          </w:tcPr>
          <w:p>
            <w:pPr>
              <w:widowControl/>
              <w:ind w:firstLine="480"/>
              <w:jc w:val="center"/>
              <w:textAlignment w:val="center"/>
              <w:rPr>
                <w:rFonts w:ascii="仿宋_GB2312"/>
                <w:b/>
                <w:bCs/>
                <w:color w:val="000000"/>
                <w:kern w:val="0"/>
                <w:sz w:val="24"/>
                <w:lang w:bidi="ar"/>
              </w:rPr>
            </w:pPr>
            <w:r>
              <w:rPr>
                <w:rFonts w:hint="eastAsia" w:ascii="仿宋_GB2312"/>
                <w:color w:val="000000"/>
                <w:kern w:val="0"/>
                <w:sz w:val="24"/>
                <w:lang w:bidi="ar"/>
              </w:rPr>
              <w:t>6.00</w:t>
            </w:r>
          </w:p>
        </w:tc>
        <w:tc>
          <w:tcPr>
            <w:tcW w:w="1007" w:type="pct"/>
            <w:vAlign w:val="center"/>
          </w:tcPr>
          <w:p>
            <w:pPr>
              <w:widowControl/>
              <w:ind w:firstLine="480"/>
              <w:jc w:val="center"/>
              <w:textAlignment w:val="center"/>
              <w:rPr>
                <w:rFonts w:ascii="仿宋_GB2312"/>
                <w:color w:val="000000"/>
                <w:kern w:val="0"/>
                <w:sz w:val="24"/>
                <w:lang w:bidi="ar"/>
              </w:rPr>
            </w:pPr>
            <w:r>
              <w:rPr>
                <w:rFonts w:hint="eastAsia" w:ascii="仿宋_GB2312"/>
                <w:color w:val="000000"/>
                <w:kern w:val="0"/>
                <w:sz w:val="24"/>
                <w:lang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367" w:type="pct"/>
            <w:vAlign w:val="center"/>
          </w:tcPr>
          <w:p>
            <w:pPr>
              <w:spacing w:line="440" w:lineRule="exact"/>
              <w:ind w:firstLine="0" w:firstLineChars="0"/>
              <w:jc w:val="center"/>
              <w:rPr>
                <w:rFonts w:hint="eastAsia" w:ascii="仿宋_GB2312" w:hAnsi="宋体" w:cs="仿宋_GB2312"/>
                <w:color w:val="000000"/>
                <w:kern w:val="0"/>
                <w:sz w:val="24"/>
                <w:lang w:bidi="ar"/>
              </w:rPr>
            </w:pPr>
            <w:r>
              <w:rPr>
                <w:rFonts w:hint="eastAsia" w:ascii="仿宋_GB2312" w:hAnsi="等线"/>
                <w:color w:val="000000"/>
                <w:sz w:val="24"/>
              </w:rPr>
              <w:t>超概率</w:t>
            </w:r>
          </w:p>
        </w:tc>
        <w:tc>
          <w:tcPr>
            <w:tcW w:w="636" w:type="pct"/>
            <w:vAlign w:val="center"/>
          </w:tcPr>
          <w:p>
            <w:pPr>
              <w:spacing w:line="440" w:lineRule="exact"/>
              <w:ind w:firstLine="0" w:firstLineChars="0"/>
              <w:jc w:val="center"/>
              <w:rPr>
                <w:rFonts w:ascii="仿宋_GB2312"/>
                <w:sz w:val="24"/>
              </w:rPr>
            </w:pPr>
            <w:r>
              <w:rPr>
                <w:rFonts w:hint="eastAsia" w:ascii="仿宋_GB2312"/>
                <w:sz w:val="24"/>
              </w:rPr>
              <w:t>8</w:t>
            </w:r>
          </w:p>
        </w:tc>
        <w:tc>
          <w:tcPr>
            <w:tcW w:w="990" w:type="pct"/>
            <w:vAlign w:val="center"/>
          </w:tcPr>
          <w:p>
            <w:pPr>
              <w:widowControl/>
              <w:ind w:firstLine="480"/>
              <w:jc w:val="center"/>
              <w:textAlignment w:val="center"/>
              <w:rPr>
                <w:rFonts w:ascii="仿宋_GB2312"/>
                <w:color w:val="000000"/>
                <w:kern w:val="0"/>
                <w:sz w:val="24"/>
                <w:lang w:bidi="ar"/>
              </w:rPr>
            </w:pPr>
            <w:r>
              <w:rPr>
                <w:rFonts w:hint="eastAsia" w:ascii="仿宋_GB2312"/>
                <w:color w:val="000000"/>
                <w:kern w:val="0"/>
                <w:sz w:val="24"/>
                <w:lang w:bidi="ar"/>
              </w:rPr>
              <w:t>8.00</w:t>
            </w:r>
          </w:p>
        </w:tc>
        <w:tc>
          <w:tcPr>
            <w:tcW w:w="1007" w:type="pct"/>
            <w:vAlign w:val="center"/>
          </w:tcPr>
          <w:p>
            <w:pPr>
              <w:widowControl/>
              <w:ind w:firstLine="480"/>
              <w:jc w:val="center"/>
              <w:textAlignment w:val="center"/>
              <w:rPr>
                <w:rFonts w:ascii="仿宋_GB2312"/>
                <w:color w:val="000000"/>
                <w:kern w:val="0"/>
                <w:sz w:val="24"/>
                <w:lang w:bidi="ar"/>
              </w:rPr>
            </w:pPr>
            <w:r>
              <w:rPr>
                <w:rFonts w:hint="eastAsia" w:ascii="仿宋_GB2312"/>
                <w:color w:val="000000"/>
                <w:kern w:val="0"/>
                <w:sz w:val="24"/>
                <w:lang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367" w:type="pct"/>
            <w:vAlign w:val="center"/>
          </w:tcPr>
          <w:p>
            <w:pPr>
              <w:spacing w:line="440" w:lineRule="exact"/>
              <w:ind w:firstLine="0" w:firstLineChars="0"/>
              <w:jc w:val="center"/>
              <w:rPr>
                <w:rFonts w:ascii="仿宋_GB2312"/>
                <w:b/>
                <w:bCs/>
                <w:sz w:val="24"/>
              </w:rPr>
            </w:pPr>
            <w:bookmarkStart w:id="142" w:name="_Toc12588"/>
            <w:bookmarkStart w:id="143" w:name="_Toc17704"/>
            <w:bookmarkStart w:id="144" w:name="_Toc11929"/>
            <w:bookmarkStart w:id="145" w:name="_Toc15262"/>
            <w:bookmarkStart w:id="146" w:name="_Toc4055"/>
            <w:r>
              <w:rPr>
                <w:rFonts w:hint="eastAsia" w:ascii="仿宋_GB2312"/>
                <w:b/>
                <w:bCs/>
                <w:sz w:val="24"/>
              </w:rPr>
              <w:t>小计</w:t>
            </w:r>
          </w:p>
        </w:tc>
        <w:tc>
          <w:tcPr>
            <w:tcW w:w="636" w:type="pct"/>
            <w:vAlign w:val="center"/>
          </w:tcPr>
          <w:p>
            <w:pPr>
              <w:spacing w:line="440" w:lineRule="exact"/>
              <w:ind w:firstLine="0" w:firstLineChars="0"/>
              <w:jc w:val="center"/>
              <w:rPr>
                <w:rFonts w:ascii="仿宋_GB2312"/>
                <w:b/>
                <w:bCs/>
                <w:sz w:val="24"/>
              </w:rPr>
            </w:pPr>
            <w:r>
              <w:rPr>
                <w:rFonts w:hint="eastAsia" w:ascii="仿宋_GB2312"/>
                <w:b/>
                <w:bCs/>
                <w:sz w:val="24"/>
              </w:rPr>
              <w:t>30</w:t>
            </w:r>
          </w:p>
        </w:tc>
        <w:tc>
          <w:tcPr>
            <w:tcW w:w="990" w:type="pct"/>
            <w:vAlign w:val="center"/>
          </w:tcPr>
          <w:p>
            <w:pPr>
              <w:widowControl/>
              <w:ind w:firstLine="482"/>
              <w:jc w:val="center"/>
              <w:textAlignment w:val="center"/>
              <w:rPr>
                <w:rFonts w:ascii="仿宋_GB2312"/>
                <w:b/>
                <w:bCs/>
                <w:color w:val="000000"/>
                <w:kern w:val="0"/>
                <w:sz w:val="24"/>
                <w:lang w:bidi="ar"/>
              </w:rPr>
            </w:pPr>
            <w:r>
              <w:rPr>
                <w:rFonts w:hint="eastAsia" w:ascii="仿宋_GB2312"/>
                <w:b/>
                <w:bCs/>
                <w:color w:val="000000"/>
                <w:kern w:val="0"/>
                <w:sz w:val="24"/>
                <w:lang w:bidi="ar"/>
              </w:rPr>
              <w:t>30.00</w:t>
            </w:r>
          </w:p>
        </w:tc>
        <w:tc>
          <w:tcPr>
            <w:tcW w:w="1007" w:type="pct"/>
            <w:vAlign w:val="center"/>
          </w:tcPr>
          <w:p>
            <w:pPr>
              <w:widowControl/>
              <w:ind w:firstLine="482"/>
              <w:jc w:val="center"/>
              <w:textAlignment w:val="center"/>
              <w:rPr>
                <w:rFonts w:ascii="仿宋_GB2312"/>
                <w:b/>
                <w:bCs/>
                <w:color w:val="000000"/>
                <w:kern w:val="0"/>
                <w:sz w:val="24"/>
                <w:lang w:bidi="ar"/>
              </w:rPr>
            </w:pPr>
            <w:r>
              <w:rPr>
                <w:rFonts w:hint="eastAsia" w:ascii="仿宋_GB2312"/>
                <w:b/>
                <w:bCs/>
                <w:color w:val="000000"/>
                <w:kern w:val="0"/>
                <w:sz w:val="24"/>
                <w:lang w:bidi="ar"/>
              </w:rPr>
              <w:t>100.00%</w:t>
            </w:r>
          </w:p>
        </w:tc>
      </w:tr>
    </w:tbl>
    <w:p>
      <w:pPr>
        <w:keepNext w:val="0"/>
        <w:keepLines w:val="0"/>
        <w:pageBreakBefore w:val="0"/>
        <w:widowControl w:val="0"/>
        <w:kinsoku/>
        <w:wordWrap/>
        <w:overflowPunct/>
        <w:topLinePunct w:val="0"/>
        <w:autoSpaceDE/>
        <w:autoSpaceDN/>
        <w:bidi w:val="0"/>
        <w:adjustRightInd/>
        <w:snapToGrid/>
        <w:ind w:firstLine="643"/>
        <w:textAlignment w:val="auto"/>
        <w:outlineLvl w:val="2"/>
        <w:rPr>
          <w:rFonts w:ascii="仿宋_GB2312"/>
          <w:b/>
          <w:bCs/>
        </w:rPr>
      </w:pPr>
      <w:r>
        <w:rPr>
          <w:rFonts w:hint="eastAsia" w:ascii="仿宋_GB2312"/>
          <w:b/>
          <w:bCs/>
        </w:rPr>
        <w:t>4.3.1</w:t>
      </w:r>
      <w:bookmarkEnd w:id="142"/>
      <w:bookmarkEnd w:id="143"/>
      <w:bookmarkEnd w:id="144"/>
      <w:bookmarkEnd w:id="145"/>
      <w:bookmarkEnd w:id="146"/>
      <w:r>
        <w:rPr>
          <w:rFonts w:hint="eastAsia" w:ascii="仿宋_GB2312"/>
          <w:b/>
          <w:bCs/>
        </w:rPr>
        <w:t>计划投资完成率</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指标解释：</w:t>
      </w:r>
      <w:r>
        <w:rPr>
          <w:rFonts w:hint="eastAsia" w:ascii="仿宋_GB2312"/>
        </w:rPr>
        <w:t>考察项目完成情况。</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评价要点：</w:t>
      </w:r>
      <w:r>
        <w:rPr>
          <w:rFonts w:hint="eastAsia" w:ascii="仿宋_GB2312"/>
        </w:rPr>
        <w:t>计划投资完成率=实际完成工作量/总工作量*100%。</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评分标准：</w:t>
      </w:r>
      <w:r>
        <w:rPr>
          <w:rFonts w:hint="eastAsia" w:ascii="仿宋_GB2312"/>
        </w:rPr>
        <w:t>完成率在95.00%及以上得满分权重分，每下降1%扣1.05%权重分，直至零分。</w:t>
      </w:r>
    </w:p>
    <w:p>
      <w:pPr>
        <w:pStyle w:val="16"/>
        <w:keepNext w:val="0"/>
        <w:keepLines w:val="0"/>
        <w:pageBreakBefore w:val="0"/>
        <w:widowControl w:val="0"/>
        <w:kinsoku/>
        <w:wordWrap/>
        <w:overflowPunct/>
        <w:topLinePunct w:val="0"/>
        <w:autoSpaceDE/>
        <w:autoSpaceDN/>
        <w:bidi w:val="0"/>
        <w:adjustRightInd/>
        <w:snapToGrid/>
        <w:spacing w:after="0"/>
        <w:ind w:left="0" w:leftChars="0" w:firstLine="643"/>
        <w:textAlignment w:val="auto"/>
        <w:rPr>
          <w:rFonts w:ascii="仿宋_GB2312"/>
        </w:rPr>
      </w:pPr>
      <w:r>
        <w:rPr>
          <w:rFonts w:hint="eastAsia" w:ascii="仿宋_GB2312"/>
          <w:b/>
          <w:bCs/>
        </w:rPr>
        <w:t>绩效分析：</w:t>
      </w:r>
      <w:r>
        <w:rPr>
          <w:rFonts w:hint="eastAsia" w:ascii="仿宋_GB2312"/>
        </w:rPr>
        <w:t>实际完成率为100%，满足指标要求，该指标得满分。</w:t>
      </w:r>
    </w:p>
    <w:p>
      <w:pPr>
        <w:keepNext w:val="0"/>
        <w:keepLines w:val="0"/>
        <w:pageBreakBefore w:val="0"/>
        <w:widowControl w:val="0"/>
        <w:kinsoku/>
        <w:wordWrap/>
        <w:overflowPunct/>
        <w:topLinePunct w:val="0"/>
        <w:autoSpaceDE/>
        <w:autoSpaceDN/>
        <w:bidi w:val="0"/>
        <w:adjustRightInd/>
        <w:snapToGrid/>
        <w:ind w:firstLine="643"/>
        <w:textAlignment w:val="auto"/>
        <w:outlineLvl w:val="2"/>
        <w:rPr>
          <w:rFonts w:ascii="仿宋_GB2312"/>
          <w:b/>
          <w:bCs/>
        </w:rPr>
      </w:pPr>
      <w:r>
        <w:rPr>
          <w:rFonts w:hint="eastAsia" w:ascii="仿宋_GB2312"/>
          <w:b/>
          <w:bCs/>
        </w:rPr>
        <w:t>4.3.2主体工程合格率</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指标解释：</w:t>
      </w:r>
      <w:r>
        <w:rPr>
          <w:rFonts w:hint="eastAsia" w:ascii="仿宋_GB2312"/>
        </w:rPr>
        <w:t>考察工程的相关质量是否达到相应标准，验收是否合格。</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评价要点：</w:t>
      </w:r>
      <w:r>
        <w:rPr>
          <w:rFonts w:hint="eastAsia" w:ascii="仿宋_GB2312"/>
        </w:rPr>
        <w:t>合格率=主体工程验收合格工程量/主体工程建设工程量。</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评分标准：</w:t>
      </w:r>
      <w:r>
        <w:rPr>
          <w:rFonts w:hint="eastAsia" w:ascii="仿宋_GB2312"/>
        </w:rPr>
        <w:t>合格率达到100%得满分权重分，每下降1%扣1%权重分，直至零分。</w:t>
      </w:r>
    </w:p>
    <w:p>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2" w:firstLineChars="200"/>
        <w:textAlignment w:val="auto"/>
        <w:rPr>
          <w:rFonts w:ascii="仿宋_GB2312" w:hAnsi="Times New Roman" w:eastAsia="仿宋_GB2312" w:cs="Times New Roman"/>
          <w:kern w:val="2"/>
          <w:sz w:val="32"/>
        </w:rPr>
      </w:pPr>
      <w:r>
        <w:rPr>
          <w:rFonts w:hint="eastAsia" w:ascii="仿宋_GB2312" w:hAnsi="Times New Roman" w:eastAsia="仿宋_GB2312" w:cs="Times New Roman"/>
          <w:b/>
          <w:bCs/>
          <w:kern w:val="2"/>
          <w:sz w:val="32"/>
        </w:rPr>
        <w:t>绩效分析：</w:t>
      </w:r>
      <w:r>
        <w:rPr>
          <w:rFonts w:hint="eastAsia" w:ascii="仿宋_GB2312" w:hAnsi="Times New Roman" w:eastAsia="仿宋_GB2312" w:cs="Times New Roman"/>
          <w:kern w:val="2"/>
          <w:sz w:val="32"/>
        </w:rPr>
        <w:t>主体工程合格率100%</w:t>
      </w:r>
      <w:r>
        <w:rPr>
          <w:rFonts w:hint="eastAsia" w:ascii="仿宋_GB2312" w:eastAsia="仿宋_GB2312" w:cs="仿宋_GB2312"/>
          <w:sz w:val="32"/>
          <w:szCs w:val="32"/>
        </w:rPr>
        <w:t>,</w:t>
      </w:r>
      <w:r>
        <w:rPr>
          <w:rFonts w:hint="eastAsia" w:ascii="仿宋_GB2312" w:hAnsi="Times New Roman" w:eastAsia="仿宋_GB2312" w:cs="Times New Roman"/>
          <w:kern w:val="2"/>
          <w:sz w:val="32"/>
        </w:rPr>
        <w:t>该指标得满分。</w:t>
      </w:r>
    </w:p>
    <w:p>
      <w:pPr>
        <w:keepNext w:val="0"/>
        <w:keepLines w:val="0"/>
        <w:pageBreakBefore w:val="0"/>
        <w:widowControl w:val="0"/>
        <w:kinsoku/>
        <w:wordWrap/>
        <w:overflowPunct/>
        <w:topLinePunct w:val="0"/>
        <w:autoSpaceDE/>
        <w:autoSpaceDN/>
        <w:bidi w:val="0"/>
        <w:adjustRightInd/>
        <w:snapToGrid/>
        <w:ind w:firstLine="643"/>
        <w:textAlignment w:val="auto"/>
        <w:outlineLvl w:val="2"/>
        <w:rPr>
          <w:rFonts w:ascii="仿宋_GB2312"/>
          <w:b/>
          <w:bCs/>
        </w:rPr>
      </w:pPr>
      <w:r>
        <w:rPr>
          <w:rFonts w:hint="eastAsia" w:ascii="仿宋_GB2312"/>
          <w:b/>
          <w:bCs/>
        </w:rPr>
        <w:t>4.3.3工程建设按期完工率</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指标解释：</w:t>
      </w:r>
      <w:r>
        <w:rPr>
          <w:rFonts w:hint="eastAsia" w:ascii="仿宋_GB2312"/>
        </w:rPr>
        <w:t>考察项目工程建设完成时效。</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评价要点：</w:t>
      </w:r>
      <w:r>
        <w:rPr>
          <w:rFonts w:hint="eastAsia" w:ascii="仿宋_GB2312"/>
        </w:rPr>
        <w:t>按期完工率=按期完工的数量/工程总量。</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评分标准：</w:t>
      </w:r>
      <w:r>
        <w:rPr>
          <w:rFonts w:hint="eastAsia" w:ascii="仿宋_GB2312"/>
        </w:rPr>
        <w:t>完工率达到100%得满分权重分，每下降1%扣1%权重分，直至零分。</w:t>
      </w:r>
    </w:p>
    <w:p>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2" w:firstLineChars="200"/>
        <w:textAlignment w:val="auto"/>
        <w:rPr>
          <w:rFonts w:ascii="仿宋_GB2312" w:hAnsi="Times New Roman" w:eastAsia="仿宋_GB2312" w:cs="Times New Roman"/>
          <w:kern w:val="2"/>
          <w:sz w:val="32"/>
        </w:rPr>
      </w:pPr>
      <w:r>
        <w:rPr>
          <w:rFonts w:hint="eastAsia" w:ascii="仿宋_GB2312" w:hAnsi="Times New Roman" w:eastAsia="仿宋_GB2312" w:cs="Times New Roman"/>
          <w:b/>
          <w:bCs/>
          <w:kern w:val="2"/>
          <w:sz w:val="32"/>
        </w:rPr>
        <w:t>绩效分析：</w:t>
      </w:r>
      <w:r>
        <w:rPr>
          <w:rFonts w:hint="eastAsia" w:ascii="仿宋_GB2312" w:hAnsi="Times New Roman" w:eastAsia="仿宋_GB2312" w:cs="Times New Roman"/>
          <w:kern w:val="2"/>
          <w:sz w:val="32"/>
        </w:rPr>
        <w:t>工程建设按期完工率达到100%</w:t>
      </w:r>
      <w:r>
        <w:rPr>
          <w:rFonts w:hint="eastAsia" w:ascii="仿宋_GB2312" w:eastAsia="仿宋_GB2312" w:cs="仿宋_GB2312"/>
          <w:sz w:val="32"/>
          <w:szCs w:val="32"/>
        </w:rPr>
        <w:t>,</w:t>
      </w:r>
      <w:r>
        <w:rPr>
          <w:rFonts w:hint="eastAsia" w:ascii="仿宋_GB2312" w:hAnsi="Times New Roman" w:eastAsia="仿宋_GB2312" w:cs="Times New Roman"/>
          <w:kern w:val="2"/>
          <w:sz w:val="32"/>
        </w:rPr>
        <w:t>该指标得满分。</w:t>
      </w:r>
    </w:p>
    <w:p>
      <w:pPr>
        <w:keepNext w:val="0"/>
        <w:keepLines w:val="0"/>
        <w:pageBreakBefore w:val="0"/>
        <w:widowControl w:val="0"/>
        <w:kinsoku/>
        <w:wordWrap/>
        <w:overflowPunct/>
        <w:topLinePunct w:val="0"/>
        <w:autoSpaceDE/>
        <w:autoSpaceDN/>
        <w:bidi w:val="0"/>
        <w:adjustRightInd/>
        <w:snapToGrid/>
        <w:ind w:firstLine="643"/>
        <w:textAlignment w:val="auto"/>
        <w:outlineLvl w:val="2"/>
        <w:rPr>
          <w:rFonts w:ascii="仿宋_GB2312"/>
          <w:b/>
          <w:bCs/>
        </w:rPr>
      </w:pPr>
      <w:r>
        <w:rPr>
          <w:rFonts w:hint="eastAsia" w:ascii="仿宋_GB2312"/>
          <w:b/>
          <w:bCs/>
        </w:rPr>
        <w:t>4.3.4超概率</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指标解释：</w:t>
      </w:r>
      <w:r>
        <w:rPr>
          <w:rFonts w:hint="eastAsia" w:ascii="仿宋_GB2312"/>
        </w:rPr>
        <w:t>考察项目支出是否符合概算批复的标准。</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评价要点：</w:t>
      </w:r>
      <w:r>
        <w:rPr>
          <w:rFonts w:hint="eastAsia" w:ascii="仿宋_GB2312"/>
        </w:rPr>
        <w:t>以批复的概算文件为准，未超过概算批复，否则不得分。</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b/>
          <w:bCs/>
        </w:rPr>
      </w:pPr>
      <w:r>
        <w:rPr>
          <w:rFonts w:hint="eastAsia" w:ascii="仿宋_GB2312"/>
          <w:b/>
          <w:bCs/>
        </w:rPr>
        <w:t>评分标准：</w:t>
      </w:r>
      <w:r>
        <w:rPr>
          <w:rFonts w:hint="eastAsia" w:ascii="仿宋_GB2312"/>
        </w:rPr>
        <w:t>未超概算得满分，超概算不得分。</w:t>
      </w:r>
    </w:p>
    <w:p>
      <w:pPr>
        <w:keepNext w:val="0"/>
        <w:keepLines w:val="0"/>
        <w:pageBreakBefore w:val="0"/>
        <w:widowControl w:val="0"/>
        <w:kinsoku/>
        <w:wordWrap/>
        <w:overflowPunct/>
        <w:topLinePunct w:val="0"/>
        <w:autoSpaceDE/>
        <w:autoSpaceDN/>
        <w:bidi w:val="0"/>
        <w:adjustRightInd/>
        <w:snapToGrid/>
        <w:ind w:firstLine="643"/>
        <w:textAlignment w:val="auto"/>
        <w:rPr>
          <w:rFonts w:ascii="仿宋_GB2312"/>
        </w:rPr>
      </w:pPr>
      <w:r>
        <w:rPr>
          <w:rFonts w:hint="eastAsia" w:ascii="仿宋_GB2312"/>
          <w:b/>
          <w:bCs/>
        </w:rPr>
        <w:t>绩效分析：</w:t>
      </w:r>
      <w:r>
        <w:rPr>
          <w:rFonts w:hint="eastAsia" w:ascii="仿宋_GB2312"/>
          <w:b w:val="0"/>
          <w:bCs w:val="0"/>
        </w:rPr>
        <w:t>项目批复概算金额154,746.84万元，</w:t>
      </w:r>
      <w:r>
        <w:rPr>
          <w:rFonts w:hint="eastAsia" w:ascii="仿宋_GB2312"/>
        </w:rPr>
        <w:t>项目支出符合概算批复的标准，实际完成值符合要求。项目的资金支出严格按照国家相关规定执行，做到项目专款专用。该指标得满分。</w:t>
      </w:r>
    </w:p>
    <w:p>
      <w:pPr>
        <w:pStyle w:val="7"/>
        <w:keepNext w:val="0"/>
        <w:keepLines w:val="0"/>
        <w:pageBreakBefore w:val="0"/>
        <w:widowControl w:val="0"/>
        <w:numPr>
          <w:ilvl w:val="0"/>
          <w:numId w:val="3"/>
        </w:numPr>
        <w:kinsoku/>
        <w:wordWrap/>
        <w:overflowPunct/>
        <w:topLinePunct w:val="0"/>
        <w:autoSpaceDE/>
        <w:autoSpaceDN/>
        <w:bidi w:val="0"/>
        <w:adjustRightInd/>
        <w:snapToGrid/>
        <w:ind w:firstLine="643"/>
        <w:textAlignment w:val="auto"/>
        <w:outlineLvl w:val="1"/>
        <w:rPr>
          <w:rFonts w:ascii="楷体_GB2312" w:hAnsi="Times New Roman" w:eastAsia="楷体_GB2312" w:cs="Times New Roman"/>
          <w:b/>
          <w:bCs/>
        </w:rPr>
      </w:pPr>
      <w:bookmarkStart w:id="147" w:name="_Toc3581"/>
      <w:r>
        <w:rPr>
          <w:rFonts w:hint="eastAsia" w:ascii="楷体_GB2312" w:hAnsi="Times New Roman" w:eastAsia="楷体_GB2312" w:cs="Times New Roman"/>
          <w:b/>
          <w:bCs/>
        </w:rPr>
        <w:t>项目效益情况</w:t>
      </w:r>
      <w:bookmarkEnd w:id="147"/>
    </w:p>
    <w:p>
      <w:pPr>
        <w:keepNext w:val="0"/>
        <w:keepLines w:val="0"/>
        <w:pageBreakBefore w:val="0"/>
        <w:widowControl w:val="0"/>
        <w:kinsoku/>
        <w:wordWrap/>
        <w:overflowPunct/>
        <w:topLinePunct w:val="0"/>
        <w:autoSpaceDE/>
        <w:autoSpaceDN/>
        <w:bidi w:val="0"/>
        <w:adjustRightInd/>
        <w:snapToGrid/>
        <w:textAlignment w:val="auto"/>
        <w:rPr>
          <w:rFonts w:ascii="仿宋_GB2312"/>
          <w:lang w:eastAsia="zh-Hans"/>
        </w:rPr>
      </w:pPr>
      <w:r>
        <w:rPr>
          <w:rFonts w:hint="eastAsia" w:ascii="仿宋_GB2312"/>
        </w:rPr>
        <w:t>项目</w:t>
      </w:r>
      <w:bookmarkStart w:id="148" w:name="_Toc31058"/>
      <w:bookmarkStart w:id="149" w:name="_Toc31831"/>
      <w:bookmarkStart w:id="150" w:name="_Toc14163"/>
      <w:bookmarkStart w:id="151" w:name="_Toc29635"/>
      <w:bookmarkStart w:id="152" w:name="_Toc23515"/>
      <w:r>
        <w:rPr>
          <w:rFonts w:hint="eastAsia" w:ascii="仿宋_GB2312"/>
        </w:rPr>
        <w:t>效益指标主要从社会</w:t>
      </w:r>
      <w:r>
        <w:rPr>
          <w:rFonts w:hint="eastAsia" w:ascii="仿宋_GB2312"/>
          <w:lang w:eastAsia="zh-Hans"/>
        </w:rPr>
        <w:t>效益</w:t>
      </w:r>
      <w:r>
        <w:rPr>
          <w:rFonts w:hint="eastAsia" w:ascii="仿宋_GB2312"/>
        </w:rPr>
        <w:t>方面考察，共计30分。本项目实际得分为28.50分，得分率为95%。指标的实际得分情况见下表</w:t>
      </w:r>
      <w:r>
        <w:rPr>
          <w:rFonts w:hint="eastAsia" w:ascii="仿宋_GB2312"/>
          <w:lang w:eastAsia="zh-Hans"/>
        </w:rPr>
        <w:t>：</w:t>
      </w:r>
    </w:p>
    <w:p>
      <w:pPr>
        <w:pStyle w:val="24"/>
        <w:ind w:firstLine="562"/>
        <w:rPr>
          <w:rFonts w:ascii="仿宋_GB2312"/>
          <w:sz w:val="28"/>
          <w:szCs w:val="32"/>
        </w:rPr>
      </w:pPr>
      <w:r>
        <w:rPr>
          <w:rFonts w:hint="eastAsia" w:ascii="仿宋_GB2312"/>
          <w:sz w:val="28"/>
          <w:szCs w:val="32"/>
        </w:rPr>
        <w:t>效益类指标得分情况表</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41"/>
        <w:gridCol w:w="1695"/>
        <w:gridCol w:w="1693"/>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2018" w:type="pct"/>
            <w:vAlign w:val="center"/>
          </w:tcPr>
          <w:p>
            <w:pPr>
              <w:spacing w:line="440" w:lineRule="exact"/>
              <w:ind w:firstLine="0" w:firstLineChars="0"/>
              <w:jc w:val="center"/>
              <w:rPr>
                <w:rFonts w:ascii="仿宋_GB2312"/>
                <w:b/>
                <w:bCs/>
                <w:sz w:val="24"/>
              </w:rPr>
            </w:pPr>
            <w:r>
              <w:rPr>
                <w:rFonts w:hint="eastAsia" w:ascii="仿宋_GB2312"/>
                <w:b/>
                <w:bCs/>
                <w:sz w:val="24"/>
              </w:rPr>
              <w:t>评价指标</w:t>
            </w:r>
          </w:p>
        </w:tc>
        <w:tc>
          <w:tcPr>
            <w:tcW w:w="994" w:type="pct"/>
            <w:vAlign w:val="center"/>
          </w:tcPr>
          <w:p>
            <w:pPr>
              <w:spacing w:line="440" w:lineRule="exact"/>
              <w:ind w:firstLine="0" w:firstLineChars="0"/>
              <w:jc w:val="center"/>
              <w:rPr>
                <w:rFonts w:ascii="仿宋_GB2312"/>
                <w:b/>
                <w:bCs/>
                <w:sz w:val="24"/>
              </w:rPr>
            </w:pPr>
            <w:r>
              <w:rPr>
                <w:rFonts w:hint="eastAsia" w:ascii="仿宋_GB2312"/>
                <w:b/>
                <w:bCs/>
                <w:sz w:val="24"/>
              </w:rPr>
              <w:t>分值</w:t>
            </w:r>
          </w:p>
        </w:tc>
        <w:tc>
          <w:tcPr>
            <w:tcW w:w="993" w:type="pct"/>
            <w:vAlign w:val="center"/>
          </w:tcPr>
          <w:p>
            <w:pPr>
              <w:spacing w:line="440" w:lineRule="exact"/>
              <w:ind w:firstLine="0" w:firstLineChars="0"/>
              <w:jc w:val="center"/>
              <w:rPr>
                <w:rFonts w:ascii="仿宋_GB2312"/>
                <w:b/>
                <w:bCs/>
                <w:sz w:val="24"/>
              </w:rPr>
            </w:pPr>
            <w:r>
              <w:rPr>
                <w:rFonts w:hint="eastAsia" w:ascii="仿宋_GB2312"/>
                <w:b/>
                <w:bCs/>
                <w:sz w:val="24"/>
              </w:rPr>
              <w:t>得分</w:t>
            </w:r>
          </w:p>
        </w:tc>
        <w:tc>
          <w:tcPr>
            <w:tcW w:w="995" w:type="pct"/>
            <w:vAlign w:val="center"/>
          </w:tcPr>
          <w:p>
            <w:pPr>
              <w:spacing w:line="440" w:lineRule="exact"/>
              <w:ind w:firstLine="0" w:firstLineChars="0"/>
              <w:jc w:val="center"/>
              <w:rPr>
                <w:rFonts w:ascii="仿宋_GB2312"/>
                <w:b/>
                <w:bCs/>
                <w:sz w:val="24"/>
              </w:rPr>
            </w:pPr>
            <w:r>
              <w:rPr>
                <w:rFonts w:hint="eastAsia" w:ascii="仿宋_GB2312"/>
                <w:b/>
                <w:bCs/>
                <w:sz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018" w:type="pct"/>
            <w:vAlign w:val="center"/>
          </w:tcPr>
          <w:p>
            <w:pPr>
              <w:spacing w:line="440" w:lineRule="exact"/>
              <w:ind w:firstLine="0" w:firstLineChars="0"/>
              <w:jc w:val="center"/>
              <w:rPr>
                <w:rFonts w:ascii="仿宋_GB2312"/>
                <w:sz w:val="24"/>
              </w:rPr>
            </w:pPr>
            <w:r>
              <w:rPr>
                <w:rFonts w:hint="eastAsia" w:ascii="仿宋_GB2312" w:hAnsi="等线"/>
                <w:color w:val="000000"/>
                <w:sz w:val="24"/>
              </w:rPr>
              <w:t>省道改建路段完好率</w:t>
            </w:r>
          </w:p>
        </w:tc>
        <w:tc>
          <w:tcPr>
            <w:tcW w:w="994" w:type="pct"/>
            <w:vAlign w:val="center"/>
          </w:tcPr>
          <w:p>
            <w:pPr>
              <w:spacing w:line="440" w:lineRule="exact"/>
              <w:ind w:firstLine="0" w:firstLineChars="0"/>
              <w:jc w:val="center"/>
              <w:rPr>
                <w:rFonts w:ascii="仿宋_GB2312"/>
                <w:sz w:val="24"/>
              </w:rPr>
            </w:pPr>
            <w:r>
              <w:rPr>
                <w:rFonts w:hint="eastAsia" w:ascii="仿宋_GB2312"/>
                <w:sz w:val="24"/>
              </w:rPr>
              <w:t>15</w:t>
            </w:r>
          </w:p>
        </w:tc>
        <w:tc>
          <w:tcPr>
            <w:tcW w:w="993" w:type="pct"/>
            <w:vAlign w:val="center"/>
          </w:tcPr>
          <w:p>
            <w:pPr>
              <w:spacing w:line="440" w:lineRule="exact"/>
              <w:ind w:firstLine="0" w:firstLineChars="0"/>
              <w:jc w:val="center"/>
              <w:rPr>
                <w:rFonts w:ascii="仿宋_GB2312"/>
                <w:sz w:val="24"/>
              </w:rPr>
            </w:pPr>
            <w:r>
              <w:rPr>
                <w:rFonts w:hint="eastAsia" w:ascii="仿宋_GB2312"/>
                <w:sz w:val="24"/>
              </w:rPr>
              <w:t>15.00</w:t>
            </w:r>
          </w:p>
        </w:tc>
        <w:tc>
          <w:tcPr>
            <w:tcW w:w="995" w:type="pct"/>
            <w:vAlign w:val="center"/>
          </w:tcPr>
          <w:p>
            <w:pPr>
              <w:spacing w:line="440" w:lineRule="exact"/>
              <w:ind w:firstLine="0" w:firstLineChars="0"/>
              <w:jc w:val="center"/>
              <w:rPr>
                <w:rFonts w:ascii="仿宋_GB2312"/>
                <w:sz w:val="24"/>
                <w:lang w:eastAsia="zh-Hans"/>
              </w:rPr>
            </w:pPr>
            <w:r>
              <w:rPr>
                <w:rFonts w:hint="eastAsia" w:ascii="仿宋_GB2312"/>
                <w:sz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018" w:type="pct"/>
            <w:vAlign w:val="center"/>
          </w:tcPr>
          <w:p>
            <w:pPr>
              <w:spacing w:line="440" w:lineRule="exact"/>
              <w:ind w:firstLine="0" w:firstLineChars="0"/>
              <w:jc w:val="center"/>
              <w:rPr>
                <w:rFonts w:ascii="仿宋_GB2312"/>
                <w:sz w:val="24"/>
              </w:rPr>
            </w:pPr>
            <w:r>
              <w:rPr>
                <w:rFonts w:hint="eastAsia" w:ascii="仿宋_GB2312" w:hAnsi="等线"/>
                <w:color w:val="000000"/>
                <w:sz w:val="24"/>
              </w:rPr>
              <w:t>海南省中北部地区运输条件</w:t>
            </w:r>
          </w:p>
        </w:tc>
        <w:tc>
          <w:tcPr>
            <w:tcW w:w="994" w:type="pct"/>
            <w:vAlign w:val="center"/>
          </w:tcPr>
          <w:p>
            <w:pPr>
              <w:spacing w:line="440" w:lineRule="exact"/>
              <w:ind w:firstLine="0" w:firstLineChars="0"/>
              <w:jc w:val="center"/>
              <w:rPr>
                <w:rFonts w:ascii="仿宋_GB2312"/>
                <w:sz w:val="24"/>
              </w:rPr>
            </w:pPr>
            <w:r>
              <w:rPr>
                <w:rFonts w:hint="eastAsia" w:ascii="仿宋_GB2312"/>
                <w:sz w:val="24"/>
              </w:rPr>
              <w:t>15</w:t>
            </w:r>
          </w:p>
        </w:tc>
        <w:tc>
          <w:tcPr>
            <w:tcW w:w="993" w:type="pct"/>
            <w:vAlign w:val="center"/>
          </w:tcPr>
          <w:p>
            <w:pPr>
              <w:spacing w:line="440" w:lineRule="exact"/>
              <w:ind w:firstLine="0" w:firstLineChars="0"/>
              <w:jc w:val="center"/>
              <w:rPr>
                <w:rFonts w:ascii="仿宋_GB2312"/>
                <w:sz w:val="24"/>
              </w:rPr>
            </w:pPr>
            <w:r>
              <w:rPr>
                <w:rFonts w:hint="eastAsia" w:ascii="仿宋_GB2312"/>
                <w:sz w:val="24"/>
              </w:rPr>
              <w:t>13.50</w:t>
            </w:r>
          </w:p>
        </w:tc>
        <w:tc>
          <w:tcPr>
            <w:tcW w:w="995" w:type="pct"/>
            <w:vAlign w:val="center"/>
          </w:tcPr>
          <w:p>
            <w:pPr>
              <w:spacing w:line="440" w:lineRule="exact"/>
              <w:ind w:firstLine="0" w:firstLineChars="0"/>
              <w:jc w:val="center"/>
              <w:rPr>
                <w:rFonts w:ascii="仿宋_GB2312"/>
                <w:sz w:val="24"/>
              </w:rPr>
            </w:pPr>
            <w:r>
              <w:rPr>
                <w:rFonts w:hint="eastAsia" w:ascii="仿宋_GB2312"/>
                <w:sz w:val="24"/>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8" w:type="pct"/>
            <w:vAlign w:val="center"/>
          </w:tcPr>
          <w:p>
            <w:pPr>
              <w:spacing w:line="440" w:lineRule="exact"/>
              <w:ind w:firstLine="0" w:firstLineChars="0"/>
              <w:jc w:val="center"/>
              <w:rPr>
                <w:rFonts w:ascii="仿宋_GB2312"/>
                <w:b/>
                <w:bCs/>
                <w:sz w:val="24"/>
              </w:rPr>
            </w:pPr>
            <w:r>
              <w:rPr>
                <w:rFonts w:hint="eastAsia" w:ascii="仿宋_GB2312"/>
                <w:b/>
                <w:bCs/>
                <w:sz w:val="24"/>
              </w:rPr>
              <w:t>小计</w:t>
            </w:r>
          </w:p>
        </w:tc>
        <w:tc>
          <w:tcPr>
            <w:tcW w:w="994" w:type="pct"/>
            <w:vAlign w:val="center"/>
          </w:tcPr>
          <w:p>
            <w:pPr>
              <w:spacing w:line="440" w:lineRule="exact"/>
              <w:ind w:firstLine="0" w:firstLineChars="0"/>
              <w:jc w:val="center"/>
              <w:rPr>
                <w:rFonts w:ascii="仿宋_GB2312"/>
                <w:b/>
                <w:bCs/>
                <w:sz w:val="24"/>
              </w:rPr>
            </w:pPr>
            <w:r>
              <w:rPr>
                <w:rFonts w:hint="eastAsia" w:ascii="仿宋_GB2312"/>
                <w:b/>
                <w:bCs/>
                <w:sz w:val="24"/>
              </w:rPr>
              <w:t>30</w:t>
            </w:r>
          </w:p>
        </w:tc>
        <w:tc>
          <w:tcPr>
            <w:tcW w:w="993" w:type="pct"/>
            <w:vAlign w:val="center"/>
          </w:tcPr>
          <w:p>
            <w:pPr>
              <w:spacing w:line="440" w:lineRule="exact"/>
              <w:ind w:firstLine="0" w:firstLineChars="0"/>
              <w:jc w:val="center"/>
              <w:rPr>
                <w:rFonts w:ascii="仿宋_GB2312"/>
                <w:b/>
                <w:bCs/>
                <w:sz w:val="24"/>
              </w:rPr>
            </w:pPr>
            <w:r>
              <w:rPr>
                <w:rFonts w:hint="eastAsia" w:ascii="仿宋_GB2312"/>
                <w:b/>
                <w:bCs/>
                <w:sz w:val="24"/>
              </w:rPr>
              <w:t>28.50</w:t>
            </w:r>
          </w:p>
        </w:tc>
        <w:tc>
          <w:tcPr>
            <w:tcW w:w="995" w:type="pct"/>
            <w:vAlign w:val="center"/>
          </w:tcPr>
          <w:p>
            <w:pPr>
              <w:spacing w:line="440" w:lineRule="exact"/>
              <w:ind w:firstLine="0" w:firstLineChars="0"/>
              <w:jc w:val="center"/>
              <w:rPr>
                <w:rFonts w:ascii="仿宋_GB2312"/>
                <w:b/>
                <w:bCs/>
                <w:sz w:val="24"/>
              </w:rPr>
            </w:pPr>
            <w:r>
              <w:rPr>
                <w:rFonts w:hint="eastAsia" w:ascii="仿宋_GB2312"/>
                <w:b/>
                <w:bCs/>
                <w:sz w:val="24"/>
              </w:rPr>
              <w:t>95.00%</w:t>
            </w:r>
          </w:p>
        </w:tc>
      </w:tr>
      <w:bookmarkEnd w:id="148"/>
      <w:bookmarkEnd w:id="149"/>
      <w:bookmarkEnd w:id="150"/>
      <w:bookmarkEnd w:id="151"/>
      <w:bookmarkEnd w:id="152"/>
    </w:tbl>
    <w:p>
      <w:pPr>
        <w:keepNext w:val="0"/>
        <w:keepLines w:val="0"/>
        <w:pageBreakBefore w:val="0"/>
        <w:widowControl w:val="0"/>
        <w:kinsoku/>
        <w:wordWrap/>
        <w:overflowPunct/>
        <w:topLinePunct w:val="0"/>
        <w:autoSpaceDE/>
        <w:autoSpaceDN/>
        <w:bidi w:val="0"/>
        <w:adjustRightInd/>
        <w:snapToGrid/>
        <w:ind w:left="0" w:firstLine="643"/>
        <w:textAlignment w:val="auto"/>
        <w:outlineLvl w:val="2"/>
        <w:rPr>
          <w:rFonts w:ascii="仿宋_GB2312"/>
          <w:b/>
          <w:bCs/>
        </w:rPr>
      </w:pPr>
      <w:r>
        <w:rPr>
          <w:rFonts w:hint="eastAsia" w:ascii="仿宋_GB2312"/>
          <w:b/>
          <w:bCs/>
        </w:rPr>
        <w:t>4.4.1省道改建路段完好率</w:t>
      </w:r>
    </w:p>
    <w:p>
      <w:pPr>
        <w:keepNext w:val="0"/>
        <w:keepLines w:val="0"/>
        <w:pageBreakBefore w:val="0"/>
        <w:widowControl w:val="0"/>
        <w:kinsoku/>
        <w:wordWrap/>
        <w:overflowPunct/>
        <w:topLinePunct w:val="0"/>
        <w:autoSpaceDE/>
        <w:autoSpaceDN/>
        <w:bidi w:val="0"/>
        <w:adjustRightInd/>
        <w:snapToGrid/>
        <w:ind w:left="0" w:firstLine="643"/>
        <w:textAlignment w:val="auto"/>
        <w:rPr>
          <w:rFonts w:ascii="仿宋_GB2312"/>
        </w:rPr>
      </w:pPr>
      <w:r>
        <w:rPr>
          <w:rFonts w:hint="eastAsia" w:ascii="仿宋_GB2312"/>
          <w:b/>
          <w:bCs/>
        </w:rPr>
        <w:t>指标解释：</w:t>
      </w:r>
      <w:r>
        <w:rPr>
          <w:rFonts w:hint="eastAsia" w:ascii="仿宋_GB2312"/>
        </w:rPr>
        <w:t>考察项目实施对省道改建路段路面保护情况。</w:t>
      </w:r>
    </w:p>
    <w:p>
      <w:pPr>
        <w:keepNext w:val="0"/>
        <w:keepLines w:val="0"/>
        <w:pageBreakBefore w:val="0"/>
        <w:widowControl w:val="0"/>
        <w:kinsoku/>
        <w:wordWrap/>
        <w:overflowPunct/>
        <w:topLinePunct w:val="0"/>
        <w:autoSpaceDE/>
        <w:autoSpaceDN/>
        <w:bidi w:val="0"/>
        <w:adjustRightInd/>
        <w:snapToGrid/>
        <w:ind w:left="0" w:firstLine="643"/>
        <w:textAlignment w:val="auto"/>
        <w:rPr>
          <w:rFonts w:ascii="仿宋_GB2312"/>
        </w:rPr>
      </w:pPr>
      <w:r>
        <w:rPr>
          <w:rFonts w:hint="eastAsia" w:ascii="仿宋_GB2312"/>
          <w:b/>
          <w:bCs/>
        </w:rPr>
        <w:t>评价要点：</w:t>
      </w:r>
      <w:r>
        <w:rPr>
          <w:rFonts w:hint="eastAsia" w:ascii="仿宋_GB2312"/>
        </w:rPr>
        <w:t>完好率=对省道改建路段完好里程/对省道改建路段建设总里程。</w:t>
      </w:r>
    </w:p>
    <w:p>
      <w:pPr>
        <w:keepNext w:val="0"/>
        <w:keepLines w:val="0"/>
        <w:pageBreakBefore w:val="0"/>
        <w:widowControl w:val="0"/>
        <w:kinsoku/>
        <w:wordWrap/>
        <w:overflowPunct/>
        <w:topLinePunct w:val="0"/>
        <w:autoSpaceDE/>
        <w:autoSpaceDN/>
        <w:bidi w:val="0"/>
        <w:adjustRightInd/>
        <w:snapToGrid/>
        <w:ind w:left="0" w:firstLine="643"/>
        <w:textAlignment w:val="auto"/>
        <w:rPr>
          <w:rFonts w:ascii="仿宋_GB2312"/>
        </w:rPr>
      </w:pPr>
      <w:r>
        <w:rPr>
          <w:rFonts w:hint="eastAsia" w:ascii="仿宋_GB2312"/>
          <w:b/>
          <w:bCs/>
        </w:rPr>
        <w:t>评分标准：</w:t>
      </w:r>
      <w:r>
        <w:rPr>
          <w:rFonts w:hint="eastAsia" w:ascii="仿宋_GB2312"/>
        </w:rPr>
        <w:t>完好率达到≥95%得满分权重分，每下降1%扣1.05%权重分，直至零分。</w:t>
      </w:r>
    </w:p>
    <w:p>
      <w:pPr>
        <w:pStyle w:val="5"/>
        <w:keepNext w:val="0"/>
        <w:keepLines w:val="0"/>
        <w:pageBreakBefore w:val="0"/>
        <w:widowControl w:val="0"/>
        <w:kinsoku/>
        <w:wordWrap/>
        <w:overflowPunct/>
        <w:topLinePunct w:val="0"/>
        <w:autoSpaceDE/>
        <w:autoSpaceDN/>
        <w:bidi w:val="0"/>
        <w:adjustRightInd/>
        <w:snapToGrid/>
        <w:ind w:left="0" w:firstLine="643"/>
        <w:textAlignment w:val="auto"/>
        <w:rPr>
          <w:rFonts w:ascii="仿宋_GB2312"/>
        </w:rPr>
      </w:pPr>
      <w:r>
        <w:rPr>
          <w:rFonts w:hint="eastAsia" w:ascii="仿宋_GB2312"/>
          <w:b/>
          <w:bCs/>
        </w:rPr>
        <w:t>绩效分析：</w:t>
      </w:r>
      <w:r>
        <w:rPr>
          <w:rFonts w:hint="eastAsia" w:ascii="仿宋_GB2312"/>
        </w:rPr>
        <w:t>省道改建路段完好率100%，基本达成目标，该指标得满分。</w:t>
      </w:r>
    </w:p>
    <w:p>
      <w:pPr>
        <w:keepNext w:val="0"/>
        <w:keepLines w:val="0"/>
        <w:pageBreakBefore w:val="0"/>
        <w:widowControl w:val="0"/>
        <w:kinsoku/>
        <w:wordWrap/>
        <w:overflowPunct/>
        <w:topLinePunct w:val="0"/>
        <w:autoSpaceDE/>
        <w:autoSpaceDN/>
        <w:bidi w:val="0"/>
        <w:adjustRightInd/>
        <w:snapToGrid/>
        <w:ind w:left="0" w:firstLine="643"/>
        <w:textAlignment w:val="auto"/>
        <w:outlineLvl w:val="2"/>
        <w:rPr>
          <w:rFonts w:ascii="仿宋_GB2312"/>
          <w:b/>
          <w:bCs/>
        </w:rPr>
      </w:pPr>
      <w:r>
        <w:rPr>
          <w:rFonts w:hint="eastAsia" w:ascii="仿宋_GB2312"/>
          <w:b/>
          <w:bCs/>
        </w:rPr>
        <w:t>4.4.2海南省中北部地区运输条件</w:t>
      </w:r>
    </w:p>
    <w:p>
      <w:pPr>
        <w:keepNext w:val="0"/>
        <w:keepLines w:val="0"/>
        <w:pageBreakBefore w:val="0"/>
        <w:widowControl w:val="0"/>
        <w:kinsoku/>
        <w:wordWrap/>
        <w:overflowPunct/>
        <w:topLinePunct w:val="0"/>
        <w:autoSpaceDE/>
        <w:autoSpaceDN/>
        <w:bidi w:val="0"/>
        <w:adjustRightInd/>
        <w:snapToGrid/>
        <w:ind w:left="0" w:firstLine="643"/>
        <w:textAlignment w:val="auto"/>
        <w:rPr>
          <w:rFonts w:ascii="仿宋_GB2312"/>
        </w:rPr>
      </w:pPr>
      <w:r>
        <w:rPr>
          <w:rFonts w:hint="eastAsia" w:ascii="仿宋_GB2312"/>
          <w:b/>
          <w:bCs/>
        </w:rPr>
        <w:t>指标解释：</w:t>
      </w:r>
      <w:r>
        <w:rPr>
          <w:rFonts w:hint="eastAsia" w:ascii="仿宋_GB2312"/>
        </w:rPr>
        <w:t>考察项目是否改善海南省中北部地区运输条件。</w:t>
      </w:r>
    </w:p>
    <w:p>
      <w:pPr>
        <w:keepNext w:val="0"/>
        <w:keepLines w:val="0"/>
        <w:pageBreakBefore w:val="0"/>
        <w:widowControl w:val="0"/>
        <w:kinsoku/>
        <w:wordWrap/>
        <w:overflowPunct/>
        <w:topLinePunct w:val="0"/>
        <w:autoSpaceDE/>
        <w:autoSpaceDN/>
        <w:bidi w:val="0"/>
        <w:adjustRightInd/>
        <w:snapToGrid/>
        <w:ind w:left="0" w:firstLine="643"/>
        <w:textAlignment w:val="auto"/>
        <w:rPr>
          <w:rFonts w:ascii="仿宋_GB2312"/>
        </w:rPr>
      </w:pPr>
      <w:r>
        <w:rPr>
          <w:rFonts w:hint="eastAsia" w:ascii="仿宋_GB2312"/>
          <w:b/>
          <w:bCs/>
        </w:rPr>
        <w:t>评价要点：</w:t>
      </w:r>
      <w:r>
        <w:rPr>
          <w:rFonts w:hint="eastAsia" w:ascii="仿宋_GB2312"/>
        </w:rPr>
        <w:t>考察通过该项目实施建设，是否改善海南省中北部地区运输条件。</w:t>
      </w:r>
    </w:p>
    <w:p>
      <w:pPr>
        <w:keepNext w:val="0"/>
        <w:keepLines w:val="0"/>
        <w:pageBreakBefore w:val="0"/>
        <w:widowControl w:val="0"/>
        <w:kinsoku/>
        <w:wordWrap/>
        <w:overflowPunct/>
        <w:topLinePunct w:val="0"/>
        <w:autoSpaceDE/>
        <w:autoSpaceDN/>
        <w:bidi w:val="0"/>
        <w:adjustRightInd/>
        <w:snapToGrid/>
        <w:ind w:left="0" w:firstLine="643"/>
        <w:textAlignment w:val="auto"/>
        <w:rPr>
          <w:rFonts w:ascii="仿宋_GB2312"/>
        </w:rPr>
      </w:pPr>
      <w:r>
        <w:rPr>
          <w:rFonts w:hint="eastAsia" w:ascii="仿宋_GB2312"/>
          <w:b/>
          <w:bCs/>
        </w:rPr>
        <w:t>评分标准：</w:t>
      </w:r>
      <w:r>
        <w:rPr>
          <w:rFonts w:hint="eastAsia" w:ascii="仿宋_GB2312"/>
        </w:rPr>
        <w:t>分为基本达成目标、部分实现目标、实现目标程度较低三个档次，依据实际情况作三级判断。</w:t>
      </w:r>
    </w:p>
    <w:p>
      <w:pPr>
        <w:keepNext w:val="0"/>
        <w:keepLines w:val="0"/>
        <w:pageBreakBefore w:val="0"/>
        <w:widowControl w:val="0"/>
        <w:kinsoku/>
        <w:wordWrap/>
        <w:overflowPunct/>
        <w:topLinePunct w:val="0"/>
        <w:autoSpaceDE/>
        <w:autoSpaceDN/>
        <w:bidi w:val="0"/>
        <w:adjustRightInd/>
        <w:snapToGrid/>
        <w:ind w:left="0" w:firstLine="643"/>
        <w:textAlignment w:val="auto"/>
        <w:rPr>
          <w:rFonts w:ascii="仿宋_GB2312" w:cs="仿宋_GB2312"/>
          <w:szCs w:val="32"/>
        </w:rPr>
      </w:pPr>
      <w:r>
        <w:rPr>
          <w:rFonts w:hint="eastAsia" w:ascii="仿宋_GB2312"/>
          <w:b/>
          <w:bCs/>
        </w:rPr>
        <w:t>绩效分析：</w:t>
      </w:r>
      <w:r>
        <w:rPr>
          <w:rFonts w:hint="eastAsia" w:ascii="仿宋_GB2312"/>
          <w:b w:val="0"/>
          <w:bCs w:val="0"/>
        </w:rPr>
        <w:t>省道S303屯大线雨水岭大道至大拉段改建工程</w:t>
      </w:r>
      <w:r>
        <w:rPr>
          <w:rFonts w:hint="eastAsia" w:ascii="仿宋_GB2312" w:cs="仿宋_GB2312"/>
          <w:szCs w:val="32"/>
        </w:rPr>
        <w:t>项目是我省交通主干线路网的重要组成部分，项目连接屯昌县、澄迈县各乡镇，是琼北地区之间往来的重要通道。项目的实施将有利于提高道路服务水平，改善海南省中北部地区运输条件。由于项目未建设完成，效果未完全实现，该指标扣10%权重分。</w:t>
      </w:r>
    </w:p>
    <w:p>
      <w:pPr>
        <w:pStyle w:val="7"/>
        <w:keepNext w:val="0"/>
        <w:keepLines w:val="0"/>
        <w:pageBreakBefore w:val="0"/>
        <w:widowControl w:val="0"/>
        <w:numPr>
          <w:ilvl w:val="0"/>
          <w:numId w:val="4"/>
        </w:numPr>
        <w:kinsoku/>
        <w:wordWrap/>
        <w:overflowPunct/>
        <w:topLinePunct w:val="0"/>
        <w:autoSpaceDE/>
        <w:autoSpaceDN/>
        <w:bidi w:val="0"/>
        <w:adjustRightInd/>
        <w:snapToGrid/>
        <w:ind w:left="0"/>
        <w:textAlignment w:val="auto"/>
        <w:outlineLvl w:val="0"/>
        <w:rPr>
          <w:rFonts w:hint="eastAsia" w:ascii="黑体" w:hAnsi="黑体" w:eastAsia="黑体" w:cs="Times New Roman"/>
          <w:bCs/>
        </w:rPr>
      </w:pPr>
      <w:bookmarkStart w:id="153" w:name="_Toc25748"/>
      <w:r>
        <w:rPr>
          <w:rFonts w:hint="eastAsia" w:ascii="黑体" w:hAnsi="黑体" w:eastAsia="黑体" w:cs="Times New Roman"/>
          <w:bCs/>
        </w:rPr>
        <w:t>主要经验及做法</w:t>
      </w:r>
      <w:bookmarkEnd w:id="153"/>
    </w:p>
    <w:p>
      <w:pPr>
        <w:pStyle w:val="7"/>
        <w:keepNext w:val="0"/>
        <w:keepLines w:val="0"/>
        <w:pageBreakBefore w:val="0"/>
        <w:widowControl w:val="0"/>
        <w:kinsoku/>
        <w:wordWrap/>
        <w:overflowPunct/>
        <w:topLinePunct w:val="0"/>
        <w:autoSpaceDE/>
        <w:autoSpaceDN/>
        <w:bidi w:val="0"/>
        <w:adjustRightInd/>
        <w:snapToGrid/>
        <w:ind w:left="0" w:firstLine="643"/>
        <w:textAlignment w:val="auto"/>
        <w:rPr>
          <w:rFonts w:ascii="仿宋_GB2312" w:hAnsi="Times New Roman" w:eastAsia="仿宋_GB2312" w:cs="Times New Roman"/>
          <w:szCs w:val="24"/>
          <w:highlight w:val="yellow"/>
        </w:rPr>
      </w:pPr>
      <w:r>
        <w:rPr>
          <w:rFonts w:hint="eastAsia" w:ascii="仿宋_GB2312" w:hAnsi="Times New Roman" w:eastAsia="仿宋_GB2312" w:cs="Times New Roman"/>
          <w:b/>
          <w:bCs/>
          <w:szCs w:val="24"/>
        </w:rPr>
        <w:t>1.项目立项充分。</w:t>
      </w:r>
      <w:r>
        <w:rPr>
          <w:rFonts w:hint="eastAsia" w:ascii="仿宋_GB2312" w:eastAsia="仿宋_GB2312"/>
        </w:rPr>
        <w:t>根据</w:t>
      </w:r>
      <w:r>
        <w:rPr>
          <w:rFonts w:hint="eastAsia" w:ascii="仿宋_GB2312" w:eastAsia="仿宋_GB2312" w:cs="仿宋_GB2312"/>
          <w:kern w:val="0"/>
        </w:rPr>
        <w:t>《海南省发展和改革委员会关于批复省道</w:t>
      </w:r>
      <w:r>
        <w:rPr>
          <w:rFonts w:hint="eastAsia" w:ascii="仿宋_GB2312" w:hAnsi="Times New Roman" w:eastAsia="仿宋_GB2312" w:cs="Times New Roman"/>
          <w:kern w:val="0"/>
        </w:rPr>
        <w:t>S303</w:t>
      </w:r>
      <w:r>
        <w:rPr>
          <w:rFonts w:hint="eastAsia" w:ascii="仿宋_GB2312" w:eastAsia="仿宋_GB2312" w:cs="仿宋_GB2312"/>
          <w:kern w:val="0"/>
        </w:rPr>
        <w:t>屯大线雨水岭大道至大拉段改建工程初步设计及概算的函》（琼发改审批函</w:t>
      </w:r>
      <w:r>
        <w:rPr>
          <w:rFonts w:hint="eastAsia" w:ascii="仿宋_GB2312" w:hAnsi="Times New Roman" w:eastAsia="仿宋_GB2312" w:cs="Times New Roman"/>
          <w:kern w:val="0"/>
        </w:rPr>
        <w:t>〔2023〕415</w:t>
      </w:r>
      <w:r>
        <w:rPr>
          <w:rFonts w:hint="eastAsia" w:ascii="仿宋_GB2312" w:eastAsia="仿宋_GB2312" w:cs="仿宋_GB2312"/>
          <w:kern w:val="0"/>
        </w:rPr>
        <w:t>号）</w:t>
      </w:r>
      <w:r>
        <w:rPr>
          <w:rFonts w:hint="eastAsia" w:ascii="仿宋_GB2312" w:eastAsia="仿宋_GB2312"/>
        </w:rPr>
        <w:t>，</w:t>
      </w:r>
      <w:r>
        <w:rPr>
          <w:rFonts w:hint="eastAsia" w:ascii="仿宋_GB2312" w:eastAsia="仿宋_GB2312" w:cs="仿宋_GB2312"/>
          <w:kern w:val="0"/>
        </w:rPr>
        <w:t>省道</w:t>
      </w:r>
      <w:r>
        <w:rPr>
          <w:rFonts w:hint="eastAsia" w:ascii="仿宋_GB2312" w:hAnsi="Times New Roman" w:eastAsia="仿宋_GB2312" w:cs="Times New Roman"/>
          <w:kern w:val="0"/>
        </w:rPr>
        <w:t>S303</w:t>
      </w:r>
      <w:r>
        <w:rPr>
          <w:rFonts w:hint="eastAsia" w:ascii="仿宋_GB2312" w:eastAsia="仿宋_GB2312" w:cs="仿宋_GB2312"/>
          <w:kern w:val="0"/>
        </w:rPr>
        <w:t>屯大线雨水岭大道至大拉段改建工程</w:t>
      </w:r>
      <w:r>
        <w:rPr>
          <w:rFonts w:hint="eastAsia" w:ascii="仿宋_GB2312" w:eastAsia="仿宋_GB2312"/>
        </w:rPr>
        <w:t>项目的建设，是海南省交通主干线路网的重要组成部分，项目连接屯昌县、澄迈县各乡镇，是琼北地区之间往来的重要通道。有利于提高道路服务水平，改善海南省中北部地区运输条件。项目符合海南省发展需求，属于部门履职所需，项目立项依据充分。</w:t>
      </w:r>
    </w:p>
    <w:p>
      <w:pPr>
        <w:keepNext w:val="0"/>
        <w:keepLines w:val="0"/>
        <w:pageBreakBefore w:val="0"/>
        <w:widowControl w:val="0"/>
        <w:kinsoku/>
        <w:wordWrap/>
        <w:overflowPunct/>
        <w:topLinePunct w:val="0"/>
        <w:autoSpaceDE/>
        <w:autoSpaceDN/>
        <w:bidi w:val="0"/>
        <w:adjustRightInd/>
        <w:snapToGrid/>
        <w:ind w:left="0" w:firstLine="643"/>
        <w:textAlignment w:val="auto"/>
        <w:rPr>
          <w:rFonts w:ascii="仿宋_GB2312"/>
        </w:rPr>
      </w:pPr>
      <w:r>
        <w:rPr>
          <w:rFonts w:hint="eastAsia" w:ascii="仿宋_GB2312"/>
          <w:b/>
          <w:bCs/>
        </w:rPr>
        <w:t>2.资金支出及时，预算执行率高。</w:t>
      </w:r>
      <w:r>
        <w:rPr>
          <w:rFonts w:hint="eastAsia" w:ascii="仿宋_GB2312"/>
        </w:rPr>
        <w:t>省道S303屯大线雨水岭大道至大拉段改建工程项目2024年全年预算数</w:t>
      </w:r>
      <w:r>
        <w:rPr>
          <w:rFonts w:hint="eastAsia" w:ascii="仿宋_GB2312"/>
          <w:kern w:val="0"/>
          <w:szCs w:val="32"/>
        </w:rPr>
        <w:t>32,700.00万元</w:t>
      </w:r>
      <w:r>
        <w:rPr>
          <w:rFonts w:hint="eastAsia" w:ascii="仿宋_GB2312"/>
        </w:rPr>
        <w:t>，支出</w:t>
      </w:r>
      <w:r>
        <w:rPr>
          <w:rFonts w:hint="eastAsia" w:ascii="仿宋_GB2312"/>
          <w:kern w:val="0"/>
          <w:szCs w:val="32"/>
        </w:rPr>
        <w:t>32,700.00万元</w:t>
      </w:r>
      <w:r>
        <w:rPr>
          <w:rFonts w:hint="eastAsia" w:ascii="仿宋_GB2312"/>
        </w:rPr>
        <w:t>，预算执行率100%。项目资金支出及时，预算执行率高，有效发挥财政资金效益。</w:t>
      </w:r>
    </w:p>
    <w:p>
      <w:pPr>
        <w:pStyle w:val="7"/>
        <w:keepNext w:val="0"/>
        <w:keepLines w:val="0"/>
        <w:pageBreakBefore w:val="0"/>
        <w:widowControl w:val="0"/>
        <w:numPr>
          <w:ilvl w:val="0"/>
          <w:numId w:val="4"/>
        </w:numPr>
        <w:kinsoku/>
        <w:wordWrap/>
        <w:overflowPunct/>
        <w:topLinePunct w:val="0"/>
        <w:autoSpaceDE/>
        <w:autoSpaceDN/>
        <w:bidi w:val="0"/>
        <w:adjustRightInd/>
        <w:snapToGrid/>
        <w:ind w:left="0"/>
        <w:textAlignment w:val="auto"/>
        <w:outlineLvl w:val="0"/>
        <w:rPr>
          <w:rFonts w:hint="eastAsia" w:ascii="黑体" w:hAnsi="黑体" w:eastAsia="黑体" w:cs="Times New Roman"/>
          <w:bCs/>
        </w:rPr>
      </w:pPr>
      <w:bookmarkStart w:id="154" w:name="_Toc5718"/>
      <w:r>
        <w:rPr>
          <w:rFonts w:hint="eastAsia" w:ascii="黑体" w:hAnsi="黑体" w:eastAsia="黑体" w:cs="Times New Roman"/>
          <w:bCs/>
        </w:rPr>
        <w:t>存在的问题及原因分析</w:t>
      </w:r>
      <w:bookmarkEnd w:id="154"/>
    </w:p>
    <w:p>
      <w:pPr>
        <w:keepNext w:val="0"/>
        <w:keepLines w:val="0"/>
        <w:pageBreakBefore w:val="0"/>
        <w:widowControl w:val="0"/>
        <w:kinsoku/>
        <w:wordWrap/>
        <w:overflowPunct/>
        <w:topLinePunct w:val="0"/>
        <w:autoSpaceDE/>
        <w:autoSpaceDN/>
        <w:bidi w:val="0"/>
        <w:adjustRightInd/>
        <w:snapToGrid/>
        <w:ind w:left="0" w:firstLine="643"/>
        <w:textAlignment w:val="auto"/>
        <w:rPr>
          <w:rFonts w:ascii="仿宋_GB2312"/>
        </w:rPr>
      </w:pPr>
      <w:bookmarkStart w:id="155" w:name="_Hlk198479318"/>
      <w:bookmarkStart w:id="156" w:name="_Toc3675"/>
      <w:r>
        <w:rPr>
          <w:rFonts w:hint="eastAsia" w:ascii="仿宋_GB2312"/>
          <w:b/>
          <w:bCs/>
        </w:rPr>
        <w:t>1.绩效目标不够全面合理。</w:t>
      </w:r>
      <w:r>
        <w:rPr>
          <w:rFonts w:hint="eastAsia" w:ascii="仿宋_GB2312"/>
        </w:rPr>
        <w:t>根据项目支出绩效目标自评表，省道S303屯大线雨水岭大道至大拉段改建工程项目的年度绩效目标为：通过完成省道S303屯大线雨水岭大道至大拉段改建工程，提高道路服务水平，改善海南省中北部地区运输条件。绩效目标与实际工作内容相关，但项目绩效目标不够具体，不能体现出预期的产出水平、从绩效目标中不能确定与预算确定的项目投资额或资金量相匹配。</w:t>
      </w:r>
    </w:p>
    <w:bookmarkEnd w:id="155"/>
    <w:p>
      <w:pPr>
        <w:pStyle w:val="7"/>
        <w:keepNext w:val="0"/>
        <w:keepLines w:val="0"/>
        <w:pageBreakBefore w:val="0"/>
        <w:widowControl w:val="0"/>
        <w:numPr>
          <w:ilvl w:val="0"/>
          <w:numId w:val="4"/>
        </w:numPr>
        <w:kinsoku/>
        <w:wordWrap/>
        <w:overflowPunct/>
        <w:topLinePunct w:val="0"/>
        <w:autoSpaceDE/>
        <w:autoSpaceDN/>
        <w:bidi w:val="0"/>
        <w:adjustRightInd/>
        <w:snapToGrid/>
        <w:ind w:left="0"/>
        <w:textAlignment w:val="auto"/>
        <w:outlineLvl w:val="0"/>
        <w:rPr>
          <w:rFonts w:hint="eastAsia" w:ascii="黑体" w:hAnsi="黑体" w:eastAsia="黑体" w:cs="Times New Roman"/>
          <w:bCs/>
        </w:rPr>
      </w:pPr>
      <w:r>
        <w:rPr>
          <w:rFonts w:hint="eastAsia" w:ascii="黑体" w:hAnsi="黑体" w:eastAsia="黑体" w:cs="Times New Roman"/>
          <w:bCs/>
        </w:rPr>
        <w:t>有关建议</w:t>
      </w:r>
      <w:bookmarkEnd w:id="156"/>
    </w:p>
    <w:p>
      <w:pPr>
        <w:keepNext w:val="0"/>
        <w:keepLines w:val="0"/>
        <w:pageBreakBefore w:val="0"/>
        <w:widowControl w:val="0"/>
        <w:kinsoku/>
        <w:wordWrap/>
        <w:overflowPunct/>
        <w:topLinePunct w:val="0"/>
        <w:autoSpaceDE/>
        <w:autoSpaceDN/>
        <w:bidi w:val="0"/>
        <w:adjustRightInd/>
        <w:snapToGrid/>
        <w:ind w:left="0" w:firstLine="643"/>
        <w:textAlignment w:val="auto"/>
        <w:rPr>
          <w:rFonts w:ascii="仿宋_GB2312"/>
        </w:rPr>
      </w:pPr>
      <w:bookmarkStart w:id="157" w:name="_Hlk198479353"/>
      <w:r>
        <w:rPr>
          <w:rFonts w:hint="eastAsia" w:ascii="仿宋_GB2312"/>
          <w:b/>
          <w:bCs/>
        </w:rPr>
        <w:t>1.强化绩效目标管理。</w:t>
      </w:r>
      <w:r>
        <w:rPr>
          <w:rFonts w:hint="eastAsia" w:ascii="仿宋_GB2312"/>
        </w:rPr>
        <w:t>按照SMART原则，结合项目内容将项目绩效目标进行细化，指标设置按照定量为主、定性为辅的原则，尽可能量化。结合项目实际情况，优化绩效目标编制，设置可衡量、可执行、细化量化的绩效指标，以绩效为导向，严格绩效目标管理，强化绩效目标刚性约束，确保绩效目标如期实现。确实无法量化的指标，应明确细化考察要点或分等级考察。</w:t>
      </w:r>
    </w:p>
    <w:bookmarkEnd w:id="157"/>
    <w:p>
      <w:pPr>
        <w:pStyle w:val="7"/>
        <w:keepNext w:val="0"/>
        <w:keepLines w:val="0"/>
        <w:pageBreakBefore w:val="0"/>
        <w:widowControl w:val="0"/>
        <w:numPr>
          <w:ilvl w:val="0"/>
          <w:numId w:val="4"/>
        </w:numPr>
        <w:kinsoku/>
        <w:wordWrap/>
        <w:overflowPunct/>
        <w:topLinePunct w:val="0"/>
        <w:autoSpaceDE/>
        <w:autoSpaceDN/>
        <w:bidi w:val="0"/>
        <w:adjustRightInd/>
        <w:snapToGrid/>
        <w:ind w:left="0"/>
        <w:textAlignment w:val="auto"/>
        <w:outlineLvl w:val="0"/>
        <w:rPr>
          <w:rFonts w:hint="eastAsia" w:ascii="黑体" w:hAnsi="黑体" w:eastAsia="黑体" w:cs="Times New Roman"/>
          <w:bCs/>
        </w:rPr>
      </w:pPr>
      <w:bookmarkStart w:id="158" w:name="_Toc11866"/>
      <w:r>
        <w:rPr>
          <w:rFonts w:hint="eastAsia" w:ascii="黑体" w:hAnsi="黑体" w:eastAsia="黑体" w:cs="Times New Roman"/>
          <w:bCs/>
        </w:rPr>
        <w:t>其他需要说明的问题</w:t>
      </w:r>
      <w:bookmarkEnd w:id="158"/>
    </w:p>
    <w:p>
      <w:pPr>
        <w:keepNext w:val="0"/>
        <w:keepLines w:val="0"/>
        <w:pageBreakBefore w:val="0"/>
        <w:widowControl w:val="0"/>
        <w:kinsoku/>
        <w:wordWrap/>
        <w:overflowPunct/>
        <w:topLinePunct w:val="0"/>
        <w:autoSpaceDE/>
        <w:autoSpaceDN/>
        <w:bidi w:val="0"/>
        <w:adjustRightInd/>
        <w:snapToGrid/>
        <w:ind w:left="0"/>
        <w:textAlignment w:val="auto"/>
        <w:rPr>
          <w:rFonts w:ascii="仿宋_GB2312"/>
        </w:rPr>
      </w:pPr>
      <w:r>
        <w:rPr>
          <w:rFonts w:hint="eastAsia" w:ascii="仿宋_GB2312"/>
          <w:bCs/>
        </w:rPr>
        <w:t>无。</w:t>
      </w:r>
    </w:p>
    <w:p>
      <w:pPr>
        <w:keepNext w:val="0"/>
        <w:keepLines w:val="0"/>
        <w:pageBreakBefore w:val="0"/>
        <w:widowControl w:val="0"/>
        <w:kinsoku/>
        <w:wordWrap/>
        <w:overflowPunct/>
        <w:topLinePunct w:val="0"/>
        <w:autoSpaceDE/>
        <w:autoSpaceDN/>
        <w:bidi w:val="0"/>
        <w:adjustRightInd/>
        <w:snapToGrid/>
        <w:ind w:left="0"/>
        <w:textAlignment w:val="auto"/>
        <w:rPr>
          <w:rFonts w:ascii="仿宋_GB2312"/>
          <w:szCs w:val="32"/>
        </w:rPr>
      </w:pPr>
      <w:r>
        <w:rPr>
          <w:rFonts w:hint="eastAsia" w:ascii="仿宋_GB2312"/>
          <w:szCs w:val="32"/>
        </w:rPr>
        <w:t>附件：综合评分表</w:t>
      </w:r>
    </w:p>
    <w:p>
      <w:pPr>
        <w:keepNext w:val="0"/>
        <w:keepLines w:val="0"/>
        <w:pageBreakBefore w:val="0"/>
        <w:widowControl w:val="0"/>
        <w:kinsoku/>
        <w:wordWrap/>
        <w:overflowPunct/>
        <w:topLinePunct w:val="0"/>
        <w:autoSpaceDE/>
        <w:autoSpaceDN/>
        <w:bidi w:val="0"/>
        <w:adjustRightInd/>
        <w:snapToGrid/>
        <w:ind w:left="0"/>
        <w:jc w:val="right"/>
        <w:textAlignment w:val="auto"/>
        <w:rPr>
          <w:rFonts w:ascii="仿宋_GB2312"/>
          <w:szCs w:val="32"/>
        </w:rPr>
      </w:pPr>
      <w:r>
        <w:rPr>
          <w:rFonts w:hint="eastAsia" w:ascii="仿宋_GB2312"/>
          <w:szCs w:val="32"/>
        </w:rPr>
        <w:t>海南省交通运输厅</w:t>
      </w:r>
    </w:p>
    <w:p>
      <w:pPr>
        <w:keepNext w:val="0"/>
        <w:keepLines w:val="0"/>
        <w:pageBreakBefore w:val="0"/>
        <w:widowControl w:val="0"/>
        <w:kinsoku/>
        <w:wordWrap/>
        <w:overflowPunct/>
        <w:topLinePunct w:val="0"/>
        <w:autoSpaceDE/>
        <w:autoSpaceDN/>
        <w:bidi w:val="0"/>
        <w:adjustRightInd/>
        <w:snapToGrid/>
        <w:ind w:left="0"/>
        <w:jc w:val="right"/>
        <w:textAlignment w:val="auto"/>
        <w:rPr>
          <w:rFonts w:ascii="仿宋_GB2312"/>
          <w:szCs w:val="32"/>
        </w:rPr>
        <w:sectPr>
          <w:pgSz w:w="11906" w:h="16838"/>
          <w:pgMar w:top="1440" w:right="1797" w:bottom="1440" w:left="1797" w:header="851" w:footer="992" w:gutter="0"/>
          <w:cols w:space="0" w:num="1"/>
          <w:docGrid w:type="lines" w:linePitch="435" w:charSpace="0"/>
        </w:sectPr>
      </w:pPr>
      <w:bookmarkStart w:id="159" w:name="_Hlk198479686"/>
      <w:r>
        <w:rPr>
          <w:rFonts w:hint="eastAsia" w:ascii="仿宋_GB2312"/>
          <w:szCs w:val="32"/>
        </w:rPr>
        <w:t>二</w:t>
      </w:r>
      <w:r>
        <w:rPr>
          <w:rFonts w:hint="eastAsia" w:ascii="微软雅黑" w:hAnsi="微软雅黑" w:eastAsia="微软雅黑" w:cs="微软雅黑"/>
          <w:szCs w:val="32"/>
        </w:rPr>
        <w:t>〇</w:t>
      </w:r>
      <w:r>
        <w:rPr>
          <w:rFonts w:hint="eastAsia" w:ascii="仿宋_GB2312" w:hAnsi="仿宋_GB2312" w:cs="仿宋_GB2312"/>
          <w:szCs w:val="32"/>
        </w:rPr>
        <w:t>二五</w:t>
      </w:r>
      <w:bookmarkEnd w:id="159"/>
      <w:r>
        <w:rPr>
          <w:rFonts w:hint="eastAsia" w:ascii="仿宋_GB2312"/>
          <w:szCs w:val="32"/>
        </w:rPr>
        <w:t>年五月</w:t>
      </w:r>
    </w:p>
    <w:p>
      <w:pPr>
        <w:pStyle w:val="7"/>
        <w:ind w:firstLine="0" w:firstLineChars="0"/>
        <w:outlineLvl w:val="0"/>
        <w:rPr>
          <w:rFonts w:ascii="仿宋_GB2312" w:hAnsi="Times New Roman" w:eastAsia="仿宋_GB2312" w:cs="Times New Roman"/>
          <w:b/>
        </w:rPr>
      </w:pPr>
      <w:bookmarkStart w:id="160" w:name="_Toc26211"/>
      <w:r>
        <w:rPr>
          <w:rFonts w:hint="eastAsia" w:ascii="仿宋_GB2312" w:hAnsi="Times New Roman" w:eastAsia="仿宋_GB2312" w:cs="Times New Roman"/>
          <w:b/>
        </w:rPr>
        <w:t>附件：综合评分表</w:t>
      </w:r>
      <w:bookmarkEnd w:id="160"/>
    </w:p>
    <w:tbl>
      <w:tblPr>
        <w:tblStyle w:val="17"/>
        <w:tblW w:w="14283" w:type="dxa"/>
        <w:tblInd w:w="0" w:type="dxa"/>
        <w:tblLayout w:type="fixed"/>
        <w:tblCellMar>
          <w:top w:w="0" w:type="dxa"/>
          <w:left w:w="108" w:type="dxa"/>
          <w:bottom w:w="0" w:type="dxa"/>
          <w:right w:w="108" w:type="dxa"/>
        </w:tblCellMar>
      </w:tblPr>
      <w:tblGrid>
        <w:gridCol w:w="749"/>
        <w:gridCol w:w="919"/>
        <w:gridCol w:w="995"/>
        <w:gridCol w:w="806"/>
        <w:gridCol w:w="15"/>
        <w:gridCol w:w="735"/>
        <w:gridCol w:w="15"/>
        <w:gridCol w:w="1970"/>
        <w:gridCol w:w="2409"/>
        <w:gridCol w:w="1530"/>
        <w:gridCol w:w="3290"/>
        <w:gridCol w:w="850"/>
      </w:tblGrid>
      <w:tr>
        <w:tblPrEx>
          <w:tblCellMar>
            <w:top w:w="0" w:type="dxa"/>
            <w:left w:w="108" w:type="dxa"/>
            <w:bottom w:w="0" w:type="dxa"/>
            <w:right w:w="108" w:type="dxa"/>
          </w:tblCellMar>
        </w:tblPrEx>
        <w:trPr>
          <w:trHeight w:val="23" w:hRule="atLeast"/>
          <w:tblHeader/>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b/>
                <w:bCs/>
                <w:sz w:val="24"/>
              </w:rPr>
            </w:pPr>
            <w:r>
              <w:rPr>
                <w:rFonts w:hint="eastAsia" w:ascii="仿宋_GB2312"/>
                <w:b/>
                <w:bCs/>
                <w:kern w:val="0"/>
                <w:sz w:val="24"/>
                <w:lang w:bidi="ar"/>
              </w:rPr>
              <w:t>一级指标</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b/>
                <w:bCs/>
                <w:sz w:val="24"/>
              </w:rPr>
            </w:pPr>
            <w:r>
              <w:rPr>
                <w:rFonts w:hint="eastAsia" w:ascii="仿宋_GB2312"/>
                <w:b/>
                <w:bCs/>
                <w:kern w:val="0"/>
                <w:sz w:val="24"/>
                <w:lang w:bidi="ar"/>
              </w:rPr>
              <w:t>二级指标</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b/>
                <w:bCs/>
                <w:sz w:val="24"/>
              </w:rPr>
            </w:pPr>
            <w:r>
              <w:rPr>
                <w:rFonts w:hint="eastAsia" w:ascii="仿宋_GB2312"/>
                <w:b/>
                <w:bCs/>
                <w:kern w:val="0"/>
                <w:sz w:val="24"/>
                <w:lang w:bidi="ar"/>
              </w:rPr>
              <w:t>三级指标</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b/>
                <w:bCs/>
                <w:sz w:val="24"/>
              </w:rPr>
            </w:pPr>
            <w:r>
              <w:rPr>
                <w:rFonts w:hint="eastAsia" w:ascii="仿宋_GB2312"/>
                <w:b/>
                <w:bCs/>
                <w:kern w:val="0"/>
                <w:sz w:val="24"/>
                <w:lang w:bidi="ar"/>
              </w:rPr>
              <w:t>目标值</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b/>
                <w:bCs/>
                <w:sz w:val="24"/>
              </w:rPr>
            </w:pPr>
            <w:r>
              <w:rPr>
                <w:rFonts w:hint="eastAsia" w:ascii="仿宋_GB2312"/>
                <w:b/>
                <w:bCs/>
                <w:kern w:val="0"/>
                <w:sz w:val="24"/>
                <w:lang w:bidi="ar"/>
              </w:rPr>
              <w:t>权重</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b/>
                <w:bCs/>
                <w:sz w:val="24"/>
              </w:rPr>
            </w:pPr>
            <w:r>
              <w:rPr>
                <w:rFonts w:hint="eastAsia" w:ascii="仿宋_GB2312"/>
                <w:b/>
                <w:bCs/>
                <w:kern w:val="0"/>
                <w:sz w:val="24"/>
                <w:lang w:bidi="ar"/>
              </w:rPr>
              <w:t>指标解释</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b/>
                <w:bCs/>
                <w:sz w:val="24"/>
              </w:rPr>
            </w:pPr>
            <w:r>
              <w:rPr>
                <w:rFonts w:hint="eastAsia" w:ascii="仿宋_GB2312"/>
                <w:b/>
                <w:bCs/>
                <w:kern w:val="0"/>
                <w:sz w:val="24"/>
                <w:lang w:bidi="ar"/>
              </w:rPr>
              <w:t>评价要点</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b/>
                <w:bCs/>
                <w:sz w:val="24"/>
              </w:rPr>
            </w:pPr>
            <w:r>
              <w:rPr>
                <w:rFonts w:hint="eastAsia" w:ascii="仿宋_GB2312"/>
                <w:b/>
                <w:bCs/>
                <w:kern w:val="0"/>
                <w:sz w:val="24"/>
                <w:lang w:bidi="ar"/>
              </w:rPr>
              <w:t>评分规则</w:t>
            </w:r>
          </w:p>
        </w:tc>
        <w:tc>
          <w:tcPr>
            <w:tcW w:w="3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b/>
                <w:bCs/>
                <w:sz w:val="24"/>
              </w:rPr>
            </w:pPr>
            <w:r>
              <w:rPr>
                <w:rFonts w:hint="eastAsia" w:ascii="仿宋_GB2312"/>
                <w:b/>
                <w:bCs/>
                <w:kern w:val="0"/>
                <w:sz w:val="24"/>
                <w:lang w:bidi="ar"/>
              </w:rPr>
              <w:t>评分说明</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b/>
                <w:bCs/>
                <w:sz w:val="24"/>
              </w:rPr>
            </w:pPr>
            <w:r>
              <w:rPr>
                <w:rFonts w:hint="eastAsia" w:ascii="仿宋_GB2312"/>
                <w:b/>
                <w:bCs/>
                <w:kern w:val="0"/>
                <w:sz w:val="24"/>
                <w:lang w:bidi="ar"/>
              </w:rPr>
              <w:t>得分</w:t>
            </w:r>
          </w:p>
        </w:tc>
      </w:tr>
      <w:tr>
        <w:tblPrEx>
          <w:tblCellMar>
            <w:top w:w="0" w:type="dxa"/>
            <w:left w:w="108" w:type="dxa"/>
            <w:bottom w:w="0" w:type="dxa"/>
            <w:right w:w="108" w:type="dxa"/>
          </w:tblCellMar>
        </w:tblPrEx>
        <w:trPr>
          <w:trHeight w:val="23" w:hRule="atLeast"/>
        </w:trPr>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决策（16分）　</w:t>
            </w:r>
          </w:p>
        </w:tc>
        <w:tc>
          <w:tcPr>
            <w:tcW w:w="9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项目立项（4分）</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立项依据充分性</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充分</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2</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项目立项是否符合法律法规、相关政策、发展规划以及部门职责，用以反映和考核项目立项依据情况。</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评价要点：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重复。</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满足一项得20%权重分</w:t>
            </w:r>
          </w:p>
        </w:tc>
        <w:tc>
          <w:tcPr>
            <w:tcW w:w="3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根据《海南省发展和改革委员会关于批复省道S303屯大线雨水岭大道至大拉段改建工程初步设计及概算的函》（琼发改审批函〔2023〕415号），省道S303屯大线雨水岭大道至大拉段改建工程项目的建设，是海南省交通主干线路网的重要组成部分，项目连接屯昌县、澄迈县各乡镇，是琼北地区之间往来的重要通道。将有利于提高道路服务水平，改善海南省中北部地区运输条件。项目符合海南省发展需求，属于部门履职所需，项目立项依据充分，该指标得满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ascii="仿宋_GB2312"/>
                <w:sz w:val="24"/>
              </w:rPr>
            </w:pPr>
            <w:r>
              <w:rPr>
                <w:rFonts w:hint="eastAsia" w:ascii="仿宋_GB2312"/>
                <w:color w:val="000000"/>
                <w:kern w:val="0"/>
                <w:sz w:val="24"/>
                <w:lang w:bidi="ar"/>
              </w:rPr>
              <w:t>2</w:t>
            </w:r>
          </w:p>
        </w:tc>
      </w:tr>
      <w:tr>
        <w:tblPrEx>
          <w:tblCellMar>
            <w:top w:w="0" w:type="dxa"/>
            <w:left w:w="108" w:type="dxa"/>
            <w:bottom w:w="0" w:type="dxa"/>
            <w:right w:w="108" w:type="dxa"/>
          </w:tblCellMar>
        </w:tblPrEx>
        <w:trPr>
          <w:trHeight w:val="23"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sz w:val="24"/>
              </w:rPr>
            </w:pPr>
          </w:p>
        </w:tc>
        <w:tc>
          <w:tcPr>
            <w:tcW w:w="9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sz w:val="24"/>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立项程序规范性</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规范</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2</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项目申请、设立过程是否符合相关要求，用以反映和考核项目立项的规范情况。</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评价要点：①项目是否按照规定的程序申请设立；②审批文件、材料是否符合相关要求；③事前是否已经过必要的可行性研究、专家论证、风险评估、绩效评估、集体决策。</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满足一项得1/3权重分</w:t>
            </w:r>
          </w:p>
        </w:tc>
        <w:tc>
          <w:tcPr>
            <w:tcW w:w="3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color w:val="000000"/>
                <w:kern w:val="0"/>
                <w:sz w:val="24"/>
                <w:lang w:bidi="ar"/>
              </w:rPr>
              <w:t>根据《海南省发展和改革委员会关于批复省道S303屯大线雨水岭大道至大拉段改建工程可行性研究报告的函》（琼发改审批函〔2023〕38号）、《海南省发展和改革委员会关于批复省道S303屯大线雨水岭大道至大拉段改建工程初步设计及概算的函》（琼发改审批函〔2023〕415号）和《海南省交通运输厅关于省道S303屯大线雨水岭大道至大拉段改建工程施工图设计的批复》（琼交运审批〔2023〕27号）等文件，省道S303屯大线雨水岭大道至大拉段改建工程项目于2023年6月通过了海南华鹏工程咨询有限公司组织的专家评审，项目按照规定程序设立申请，经过可行性研究、专家论证，项目立项程序规范，该指标得满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ascii="仿宋_GB2312"/>
                <w:color w:val="000000"/>
                <w:kern w:val="0"/>
                <w:sz w:val="24"/>
                <w:lang w:bidi="ar"/>
              </w:rPr>
            </w:pPr>
            <w:r>
              <w:rPr>
                <w:rFonts w:hint="eastAsia" w:ascii="仿宋_GB2312"/>
                <w:color w:val="000000"/>
                <w:kern w:val="0"/>
                <w:sz w:val="24"/>
                <w:lang w:bidi="ar"/>
              </w:rPr>
              <w:t>2</w:t>
            </w:r>
          </w:p>
        </w:tc>
      </w:tr>
      <w:tr>
        <w:tblPrEx>
          <w:tblCellMar>
            <w:top w:w="0" w:type="dxa"/>
            <w:left w:w="108" w:type="dxa"/>
            <w:bottom w:w="0" w:type="dxa"/>
            <w:right w:w="108" w:type="dxa"/>
          </w:tblCellMar>
        </w:tblPrEx>
        <w:trPr>
          <w:trHeight w:val="23"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sz w:val="24"/>
              </w:rPr>
            </w:pPr>
          </w:p>
        </w:tc>
        <w:tc>
          <w:tcPr>
            <w:tcW w:w="9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绩效目标（4分）</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绩效目标合理性</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合理</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2</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项目所设定的绩效目标是否依据充分，是否符合客观实际，用以反映和考核项目绩效目标与项目实施的相符情况。</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评价要点：（如未设定预算绩效目标，也可考核其他工作任务目标）①项目是否有绩效目标；②项目绩效目标与实际工作内容是否具有相关性；③项目预期产出效益和效果是否符合正常的业绩水平；④是否与预算确定的项目投资额或资金量相匹配。</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满足一项得25%权重分</w:t>
            </w:r>
          </w:p>
        </w:tc>
        <w:tc>
          <w:tcPr>
            <w:tcW w:w="3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根据项目支出绩效目标自评表，省道S303屯大线雨水岭大道至大拉段改建工程项目的年度绩效目标为：通过完成省道S303屯大线雨水岭大道至大拉段改建工程，提高道路服务水平，改善海南省中北部地区运输条件。绩效目标与实际工作内容相关，但项目绩效目标不够具体，不能体现出预期的产出水平、从绩效目标中不能确定与预算确定的项目投资额或资金量相匹配。该指标扣50%权重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ascii="仿宋_GB2312"/>
                <w:color w:val="000000"/>
                <w:kern w:val="0"/>
                <w:sz w:val="24"/>
                <w:lang w:bidi="ar"/>
              </w:rPr>
            </w:pPr>
            <w:r>
              <w:rPr>
                <w:rFonts w:hint="eastAsia" w:ascii="仿宋_GB2312"/>
                <w:color w:val="000000"/>
                <w:kern w:val="0"/>
                <w:sz w:val="24"/>
                <w:lang w:bidi="ar"/>
              </w:rPr>
              <w:t>1</w:t>
            </w:r>
          </w:p>
        </w:tc>
      </w:tr>
      <w:tr>
        <w:tblPrEx>
          <w:tblCellMar>
            <w:top w:w="0" w:type="dxa"/>
            <w:left w:w="108" w:type="dxa"/>
            <w:bottom w:w="0" w:type="dxa"/>
            <w:right w:w="108" w:type="dxa"/>
          </w:tblCellMar>
        </w:tblPrEx>
        <w:trPr>
          <w:trHeight w:val="23"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sz w:val="24"/>
              </w:rPr>
            </w:pPr>
          </w:p>
        </w:tc>
        <w:tc>
          <w:tcPr>
            <w:tcW w:w="9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sz w:val="24"/>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绩效指标明确性</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明确</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2</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依据绩效目标设定的绩效指标是否清晰、细化、可衡量等，用以反映和考核项目绩效目标的明细化情况。</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评价要点：①是否将项目绩效目标细化分解为具体的绩效指标；②是否通过清晰、可衡量的指标值予以体现；③是否与项目目标任务数或计划数相对应。</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满足一项得1/3权重分</w:t>
            </w:r>
          </w:p>
        </w:tc>
        <w:tc>
          <w:tcPr>
            <w:tcW w:w="3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根据项目绩效目标申报表,部门已将省道S303屯大线雨水岭大道至大拉段改建工程项目绩效目标分解为具体的绩效指标，指标清晰、细化、可衡量。该指标得满分。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ascii="仿宋_GB2312"/>
                <w:color w:val="000000"/>
                <w:kern w:val="0"/>
                <w:sz w:val="24"/>
                <w:lang w:bidi="ar"/>
              </w:rPr>
            </w:pPr>
            <w:r>
              <w:rPr>
                <w:rFonts w:hint="eastAsia" w:ascii="仿宋_GB2312"/>
                <w:color w:val="000000"/>
                <w:kern w:val="0"/>
                <w:sz w:val="24"/>
                <w:lang w:bidi="ar"/>
              </w:rPr>
              <w:t>2</w:t>
            </w:r>
          </w:p>
        </w:tc>
      </w:tr>
      <w:tr>
        <w:tblPrEx>
          <w:tblCellMar>
            <w:top w:w="0" w:type="dxa"/>
            <w:left w:w="108" w:type="dxa"/>
            <w:bottom w:w="0" w:type="dxa"/>
            <w:right w:w="108" w:type="dxa"/>
          </w:tblCellMar>
        </w:tblPrEx>
        <w:trPr>
          <w:trHeight w:val="23"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sz w:val="24"/>
              </w:rPr>
            </w:pPr>
          </w:p>
        </w:tc>
        <w:tc>
          <w:tcPr>
            <w:tcW w:w="9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资金投入（8分）</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预算编制科学性</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科学</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4</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项目预算编制是否经过科学论证、有明确标准，资金额度与年度目标是否相适应，用以反映和考核项目预算编制的科学性、合理性情况。</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评价要点：①预算编制是否经过科学论证；②预算内容与项目内容是否匹配；③预算额度测算依据是否充分，是否按照标准编制；④预算确定的项目投资额或资金量是否与工作任务相匹配。</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满足一项得25%权重分。</w:t>
            </w:r>
          </w:p>
        </w:tc>
        <w:tc>
          <w:tcPr>
            <w:tcW w:w="3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ascii="仿宋_GB2312"/>
                <w:sz w:val="24"/>
              </w:rPr>
            </w:pPr>
            <w:r>
              <w:rPr>
                <w:rFonts w:hint="eastAsia" w:ascii="仿宋_GB2312"/>
                <w:color w:val="000000"/>
                <w:kern w:val="0"/>
                <w:sz w:val="24"/>
                <w:lang w:bidi="ar"/>
              </w:rPr>
              <w:t>根据《海南省发展和改革委员会关于批复省道S303屯大线雨水岭大道至大拉段改建工程可行性研究报告的函》（琼发改审批函〔2023〕38号）、《海南省发展和改革委员会关于批复省道S303屯大线雨水岭大道至大拉段改建工程初步设计及概算的函》（琼发改审批函〔2023〕415号）和《海南省交通运输厅关于省道S303屯大线雨水岭大道至大拉段改建工程施工图设计的批复》（琼交运审批〔2023〕27号），项目初步设计及概算于2023年6月7日得到批复，根据交通运输部《公路工程建设项目概算预算编制办法》(JTG3830-2018)、《公路工程概算定额》(JTG/T3831-2018)及海南省有关规定，结合海南华鹏工程咨询有限公司编制的评审报告进行审核，省道S303屯大线雨水岭大道至大拉段改建工程项目的总概算核定为154,746.84万元，项目预算编制经过论证、评审，该指标得满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ascii="仿宋_GB2312"/>
                <w:color w:val="000000"/>
                <w:kern w:val="0"/>
                <w:sz w:val="24"/>
                <w:lang w:bidi="ar"/>
              </w:rPr>
            </w:pPr>
            <w:r>
              <w:rPr>
                <w:rFonts w:hint="eastAsia" w:ascii="仿宋_GB2312"/>
                <w:color w:val="000000"/>
                <w:kern w:val="0"/>
                <w:sz w:val="24"/>
                <w:lang w:bidi="ar"/>
              </w:rPr>
              <w:t>4</w:t>
            </w:r>
          </w:p>
        </w:tc>
      </w:tr>
      <w:tr>
        <w:tblPrEx>
          <w:tblCellMar>
            <w:top w:w="0" w:type="dxa"/>
            <w:left w:w="108" w:type="dxa"/>
            <w:bottom w:w="0" w:type="dxa"/>
            <w:right w:w="108" w:type="dxa"/>
          </w:tblCellMar>
        </w:tblPrEx>
        <w:trPr>
          <w:trHeight w:val="23"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sz w:val="24"/>
              </w:rPr>
            </w:pPr>
          </w:p>
        </w:tc>
        <w:tc>
          <w:tcPr>
            <w:tcW w:w="9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sz w:val="24"/>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资金分配合理性</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合理</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4</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项目预算资金分配是否有测算依据，与补助单位或地方实际是否相适应，用以反映和考核项目预算资金分配的科学性、合理性情况。</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评价要点：①预算资金分配依据是否充分；②资金分配额度是否合理，与项目单位或地方实际是否相适应。</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满足一项得50%权重分。</w:t>
            </w:r>
          </w:p>
        </w:tc>
        <w:tc>
          <w:tcPr>
            <w:tcW w:w="3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color w:val="000000"/>
                <w:kern w:val="0"/>
                <w:sz w:val="24"/>
                <w:lang w:bidi="ar"/>
              </w:rPr>
              <w:t>项目按批复后的预算概算金额进行资金分配。预算资金分配依据充分，资金分配额度合理，该指标得满分。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ascii="仿宋_GB2312"/>
                <w:color w:val="000000"/>
                <w:kern w:val="0"/>
                <w:sz w:val="24"/>
                <w:lang w:bidi="ar"/>
              </w:rPr>
            </w:pPr>
            <w:r>
              <w:rPr>
                <w:rFonts w:hint="eastAsia" w:ascii="仿宋_GB2312"/>
                <w:color w:val="000000"/>
                <w:kern w:val="0"/>
                <w:sz w:val="24"/>
                <w:lang w:bidi="ar"/>
              </w:rPr>
              <w:t>4</w:t>
            </w:r>
          </w:p>
        </w:tc>
      </w:tr>
      <w:tr>
        <w:tblPrEx>
          <w:tblCellMar>
            <w:top w:w="0" w:type="dxa"/>
            <w:left w:w="108" w:type="dxa"/>
            <w:bottom w:w="0" w:type="dxa"/>
            <w:right w:w="108" w:type="dxa"/>
          </w:tblCellMar>
        </w:tblPrEx>
        <w:trPr>
          <w:trHeight w:val="23" w:hRule="atLeast"/>
        </w:trPr>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过程（24分）</w:t>
            </w:r>
          </w:p>
        </w:tc>
        <w:tc>
          <w:tcPr>
            <w:tcW w:w="9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资金管理（14分）</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资金到位率</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100%</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5</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实际到位资金与预算资金的比率，用以反映和考核资金落实情况对项目实施的总体保障程度。</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kern w:val="0"/>
                <w:sz w:val="24"/>
                <w:lang w:bidi="ar"/>
              </w:rPr>
            </w:pPr>
            <w:r>
              <w:rPr>
                <w:rFonts w:hint="eastAsia" w:ascii="仿宋_GB2312"/>
                <w:kern w:val="0"/>
                <w:sz w:val="24"/>
                <w:lang w:bidi="ar"/>
              </w:rPr>
              <w:t>资金到位率=（实际到位资金/预算资金）×100%。</w:t>
            </w:r>
          </w:p>
          <w:p>
            <w:pPr>
              <w:widowControl/>
              <w:spacing w:line="240" w:lineRule="auto"/>
              <w:ind w:firstLine="0" w:firstLineChars="0"/>
              <w:jc w:val="center"/>
              <w:textAlignment w:val="center"/>
              <w:rPr>
                <w:rFonts w:ascii="仿宋_GB2312"/>
                <w:kern w:val="0"/>
                <w:sz w:val="24"/>
                <w:lang w:bidi="ar"/>
              </w:rPr>
            </w:pPr>
            <w:r>
              <w:rPr>
                <w:rFonts w:hint="eastAsia" w:ascii="仿宋_GB2312"/>
                <w:kern w:val="0"/>
                <w:sz w:val="24"/>
                <w:lang w:bidi="ar"/>
              </w:rPr>
              <w:t>实际到位资金：一定时期（本年度或项目期）内落实到具体项目的资金。</w:t>
            </w:r>
          </w:p>
          <w:p>
            <w:pPr>
              <w:widowControl/>
              <w:spacing w:line="240" w:lineRule="auto"/>
              <w:ind w:firstLine="0" w:firstLineChars="0"/>
              <w:jc w:val="center"/>
              <w:textAlignment w:val="center"/>
              <w:rPr>
                <w:rFonts w:ascii="仿宋_GB2312"/>
                <w:sz w:val="24"/>
              </w:rPr>
            </w:pPr>
            <w:r>
              <w:rPr>
                <w:rFonts w:hint="eastAsia" w:ascii="仿宋_GB2312"/>
                <w:kern w:val="0"/>
                <w:sz w:val="24"/>
                <w:lang w:bidi="ar"/>
              </w:rPr>
              <w:t>预算资金：一定时期（本年度或项目期）内预算安排到具体项目的资金。</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100%得满分权重分，每下降1%扣1%权重分，直至零分。</w:t>
            </w:r>
          </w:p>
        </w:tc>
        <w:tc>
          <w:tcPr>
            <w:tcW w:w="3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color w:val="000000"/>
                <w:kern w:val="0"/>
                <w:sz w:val="24"/>
                <w:lang w:bidi="ar"/>
              </w:rPr>
              <w:t>省道S303屯大线雨水岭大道至大拉段改建工程项目2024年全年预算数32,700.00万元，实际到位资金32,700.00万元，资金到位率100%，该指标得满分。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ascii="仿宋_GB2312"/>
                <w:color w:val="000000"/>
                <w:kern w:val="0"/>
                <w:sz w:val="24"/>
                <w:lang w:bidi="ar"/>
              </w:rPr>
            </w:pPr>
            <w:r>
              <w:rPr>
                <w:rFonts w:hint="eastAsia" w:ascii="仿宋_GB2312"/>
                <w:color w:val="000000"/>
                <w:kern w:val="0"/>
                <w:sz w:val="24"/>
                <w:lang w:bidi="ar"/>
              </w:rPr>
              <w:t>5</w:t>
            </w:r>
          </w:p>
        </w:tc>
      </w:tr>
      <w:tr>
        <w:tblPrEx>
          <w:tblCellMar>
            <w:top w:w="0" w:type="dxa"/>
            <w:left w:w="108" w:type="dxa"/>
            <w:bottom w:w="0" w:type="dxa"/>
            <w:right w:w="108" w:type="dxa"/>
          </w:tblCellMar>
        </w:tblPrEx>
        <w:trPr>
          <w:trHeight w:val="23"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sz w:val="24"/>
              </w:rPr>
            </w:pPr>
          </w:p>
        </w:tc>
        <w:tc>
          <w:tcPr>
            <w:tcW w:w="9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sz w:val="24"/>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预算执行率</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100%</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5</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项目预算资金是否按照计划执行，用以反映或考核项目预算执行情况。</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kern w:val="0"/>
                <w:sz w:val="24"/>
                <w:lang w:bidi="ar"/>
              </w:rPr>
            </w:pPr>
            <w:r>
              <w:rPr>
                <w:rFonts w:hint="eastAsia" w:ascii="仿宋_GB2312"/>
                <w:kern w:val="0"/>
                <w:sz w:val="24"/>
                <w:lang w:bidi="ar"/>
              </w:rPr>
              <w:t>预算执行率=（实际支出资金/实际到位资金）×100%。</w:t>
            </w:r>
          </w:p>
          <w:p>
            <w:pPr>
              <w:widowControl/>
              <w:spacing w:line="240" w:lineRule="auto"/>
              <w:ind w:firstLine="0" w:firstLineChars="0"/>
              <w:jc w:val="center"/>
              <w:textAlignment w:val="center"/>
              <w:rPr>
                <w:rFonts w:ascii="仿宋_GB2312"/>
                <w:sz w:val="24"/>
              </w:rPr>
            </w:pPr>
            <w:r>
              <w:rPr>
                <w:rFonts w:hint="eastAsia" w:ascii="仿宋_GB2312"/>
                <w:kern w:val="0"/>
                <w:sz w:val="24"/>
                <w:lang w:bidi="ar"/>
              </w:rPr>
              <w:t>实际支出资金：一定时期（本年度或项目期）内项目实际拨付的资金。</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100%得满分权重分，每下降1%扣1%权重分，直至零分。</w:t>
            </w:r>
          </w:p>
        </w:tc>
        <w:tc>
          <w:tcPr>
            <w:tcW w:w="3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color w:val="000000"/>
                <w:kern w:val="0"/>
                <w:sz w:val="24"/>
                <w:lang w:bidi="ar"/>
              </w:rPr>
              <w:t>省道S303屯大线雨水岭大道至大拉段改建工程项目2024年实际到位资金32,700.00万元，2024年实际支出32,700.00万元，预算执行率100%。该指标得满分。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ascii="仿宋_GB2312"/>
                <w:color w:val="000000"/>
                <w:kern w:val="0"/>
                <w:sz w:val="24"/>
                <w:lang w:bidi="ar"/>
              </w:rPr>
            </w:pPr>
            <w:r>
              <w:rPr>
                <w:rFonts w:hint="eastAsia" w:ascii="仿宋_GB2312"/>
                <w:color w:val="000000"/>
                <w:kern w:val="0"/>
                <w:sz w:val="24"/>
                <w:lang w:bidi="ar"/>
              </w:rPr>
              <w:t>5</w:t>
            </w:r>
          </w:p>
        </w:tc>
      </w:tr>
      <w:tr>
        <w:tblPrEx>
          <w:tblCellMar>
            <w:top w:w="0" w:type="dxa"/>
            <w:left w:w="108" w:type="dxa"/>
            <w:bottom w:w="0" w:type="dxa"/>
            <w:right w:w="108" w:type="dxa"/>
          </w:tblCellMar>
        </w:tblPrEx>
        <w:trPr>
          <w:trHeight w:val="23"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sz w:val="24"/>
              </w:rPr>
            </w:pPr>
          </w:p>
        </w:tc>
        <w:tc>
          <w:tcPr>
            <w:tcW w:w="9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sz w:val="24"/>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资金使用合规性</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合规</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4</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项目资金使用是否符合相关的财务管理制度规定，用以反映和考核项目资金的规范运行情况。</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评价要点：①是否符合国家财经法规和财务管理制度以及有关专项资金管理办法的规定；②资金的拨付是否有完整的审批程序和手续；③是否符合项目预算批复或合同规定的用途；④是否存在截留、挤占、挪用、虚列支出等情况。</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条件④不满足，本指标不得分；条件④满足，其余三项每满足1项得1/3权重分。</w:t>
            </w:r>
          </w:p>
        </w:tc>
        <w:tc>
          <w:tcPr>
            <w:tcW w:w="3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根据提供的项目支出相关材料，项目资金主要用于省道S303屯大线雨水岭大道至大拉段改建工程项目的相关建设支出，符合《海南省交通运输厅机关经费支出管理规定》。项目资金使用符合部门财务管理制度规定，资金拨付有完整的审批程序，资金支出范围符合项目预算批复的用途，未发现残留、挤占、挪用、虚列支出等情况。该指标得满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ascii="仿宋_GB2312"/>
                <w:color w:val="000000"/>
                <w:kern w:val="0"/>
                <w:sz w:val="24"/>
                <w:lang w:bidi="ar"/>
              </w:rPr>
            </w:pPr>
            <w:r>
              <w:rPr>
                <w:rFonts w:hint="eastAsia" w:ascii="仿宋_GB2312"/>
                <w:color w:val="000000"/>
                <w:kern w:val="0"/>
                <w:sz w:val="24"/>
                <w:lang w:bidi="ar"/>
              </w:rPr>
              <w:t>4</w:t>
            </w:r>
          </w:p>
        </w:tc>
      </w:tr>
      <w:tr>
        <w:tblPrEx>
          <w:tblCellMar>
            <w:top w:w="0" w:type="dxa"/>
            <w:left w:w="108" w:type="dxa"/>
            <w:bottom w:w="0" w:type="dxa"/>
            <w:right w:w="108" w:type="dxa"/>
          </w:tblCellMar>
        </w:tblPrEx>
        <w:trPr>
          <w:trHeight w:val="23"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sz w:val="24"/>
              </w:rPr>
            </w:pPr>
          </w:p>
        </w:tc>
        <w:tc>
          <w:tcPr>
            <w:tcW w:w="9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组织实施（10分）</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管理制度健全性</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健全</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5</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项目实施单位的财务和业务管理制度是否健全，用以反映和考核财务和业务管理制度对项目顺利实施的保障情况。</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评价要点：①是否已制定或具有相应的财务和业务管理制度；②财务和业务管理制度是否合法、合规、完整。</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满足一项得50%权重分。</w:t>
            </w:r>
          </w:p>
        </w:tc>
        <w:tc>
          <w:tcPr>
            <w:tcW w:w="3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color w:val="000000"/>
                <w:kern w:val="0"/>
                <w:sz w:val="24"/>
                <w:lang w:bidi="ar"/>
              </w:rPr>
              <w:t>部门制定了《海南省交通运输厅机关经费支出管理规定》，具有相应的财务和业务管理制度，财务和业务管理制度合法、合规、完整。该指标得满分。</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right"/>
              <w:textAlignment w:val="center"/>
              <w:rPr>
                <w:rFonts w:ascii="仿宋_GB2312"/>
                <w:color w:val="000000"/>
                <w:kern w:val="0"/>
                <w:sz w:val="24"/>
                <w:lang w:bidi="ar"/>
              </w:rPr>
            </w:pPr>
            <w:r>
              <w:rPr>
                <w:rFonts w:hint="eastAsia" w:ascii="仿宋_GB2312"/>
                <w:color w:val="000000"/>
                <w:kern w:val="0"/>
                <w:sz w:val="24"/>
                <w:lang w:bidi="ar"/>
              </w:rPr>
              <w:t>5</w:t>
            </w:r>
          </w:p>
        </w:tc>
      </w:tr>
      <w:tr>
        <w:tblPrEx>
          <w:tblCellMar>
            <w:top w:w="0" w:type="dxa"/>
            <w:left w:w="108" w:type="dxa"/>
            <w:bottom w:w="0" w:type="dxa"/>
            <w:right w:w="108" w:type="dxa"/>
          </w:tblCellMar>
        </w:tblPrEx>
        <w:trPr>
          <w:trHeight w:val="23" w:hRule="atLeast"/>
        </w:trPr>
        <w:tc>
          <w:tcPr>
            <w:tcW w:w="749"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仿宋_GB2312"/>
                <w:sz w:val="24"/>
              </w:rPr>
            </w:pPr>
          </w:p>
        </w:tc>
        <w:tc>
          <w:tcPr>
            <w:tcW w:w="919"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仿宋_GB2312"/>
                <w:sz w:val="24"/>
              </w:rPr>
            </w:pPr>
          </w:p>
        </w:tc>
        <w:tc>
          <w:tcPr>
            <w:tcW w:w="995"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制度执行有效性</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有效</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5</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项目实施是否符合相关管理规定，用以反映和考核相关管理制度的有效执行情况。</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评价要点：①是否遵守相关法律法规和相关管理规定；②项目调整及支出调整手续是否完备；③项目合同书、验收报告、技术鉴定等资料是否齐全并及时归档；④项目实施的人员条件、场地设备、信息支撑等是否落实到位。</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满足一项得25%权重分。</w:t>
            </w:r>
          </w:p>
        </w:tc>
        <w:tc>
          <w:tcPr>
            <w:tcW w:w="3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color w:val="000000"/>
                <w:kern w:val="0"/>
                <w:sz w:val="24"/>
                <w:lang w:bidi="ar"/>
              </w:rPr>
              <w:t>根据提供的2024年项目支出明细等相关材料，项目按照规定进行支付，项目支出有完整的审批手续和程序，项目实施遵守相关管理规定，制度执行有效，该指标得满分。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ascii="仿宋_GB2312"/>
                <w:color w:val="000000"/>
                <w:kern w:val="0"/>
                <w:sz w:val="24"/>
                <w:lang w:bidi="ar"/>
              </w:rPr>
            </w:pPr>
            <w:r>
              <w:rPr>
                <w:rFonts w:hint="eastAsia" w:ascii="仿宋_GB2312"/>
                <w:color w:val="000000"/>
                <w:kern w:val="0"/>
                <w:sz w:val="24"/>
                <w:lang w:bidi="ar"/>
              </w:rPr>
              <w:t>5</w:t>
            </w:r>
          </w:p>
        </w:tc>
      </w:tr>
      <w:tr>
        <w:tblPrEx>
          <w:tblCellMar>
            <w:top w:w="0" w:type="dxa"/>
            <w:left w:w="108" w:type="dxa"/>
            <w:bottom w:w="0" w:type="dxa"/>
            <w:right w:w="108" w:type="dxa"/>
          </w:tblCellMar>
        </w:tblPrEx>
        <w:trPr>
          <w:trHeight w:val="23" w:hRule="atLeast"/>
        </w:trPr>
        <w:tc>
          <w:tcPr>
            <w:tcW w:w="749" w:type="dxa"/>
            <w:vMerge w:val="restart"/>
            <w:tcBorders>
              <w:top w:val="single" w:color="auto" w:sz="4" w:space="0"/>
              <w:left w:val="single" w:color="auto" w:sz="4" w:space="0"/>
              <w:right w:val="single" w:color="auto"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产出（30分）</w:t>
            </w:r>
          </w:p>
        </w:tc>
        <w:tc>
          <w:tcPr>
            <w:tcW w:w="9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产出数量(8分）</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计划投资完成率</w:t>
            </w:r>
            <w:r>
              <w:rPr>
                <w:rFonts w:hint="eastAsia" w:ascii="仿宋_GB2312"/>
                <w:kern w:val="0"/>
                <w:sz w:val="24"/>
                <w:lang w:bidi="ar"/>
              </w:rPr>
              <w:tab/>
            </w:r>
          </w:p>
        </w:tc>
        <w:tc>
          <w:tcPr>
            <w:tcW w:w="80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ind w:firstLine="0" w:firstLineChars="0"/>
              <w:textAlignment w:val="center"/>
              <w:rPr>
                <w:rFonts w:ascii="仿宋_GB2312"/>
                <w:sz w:val="24"/>
              </w:rPr>
            </w:pPr>
            <w:r>
              <w:rPr>
                <w:rFonts w:hint="eastAsia" w:ascii="仿宋_GB2312"/>
                <w:kern w:val="0"/>
                <w:sz w:val="24"/>
                <w:lang w:bidi="ar"/>
              </w:rPr>
              <w:t>80.00%</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textAlignment w:val="center"/>
              <w:rPr>
                <w:rFonts w:ascii="仿宋_GB2312"/>
                <w:sz w:val="24"/>
              </w:rPr>
            </w:pPr>
            <w:r>
              <w:rPr>
                <w:rFonts w:hint="eastAsia" w:ascii="仿宋_GB2312"/>
                <w:kern w:val="0"/>
                <w:sz w:val="24"/>
                <w:lang w:bidi="ar"/>
              </w:rPr>
              <w:t>8</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考察项目完成情况。</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kern w:val="0"/>
                <w:sz w:val="24"/>
                <w:lang w:bidi="ar"/>
              </w:rPr>
            </w:pPr>
            <w:r>
              <w:rPr>
                <w:rFonts w:hint="eastAsia" w:ascii="仿宋_GB2312"/>
                <w:kern w:val="0"/>
                <w:sz w:val="24"/>
                <w:lang w:bidi="ar"/>
              </w:rPr>
              <w:t>计划投资完成率=实际完成工作量/总工作量*100%</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完成率在80.00%及以上得满分权重分，每下降1%扣1.25%权重分，直至零分。</w:t>
            </w:r>
          </w:p>
        </w:tc>
        <w:tc>
          <w:tcPr>
            <w:tcW w:w="3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hAnsi="等线"/>
                <w:color w:val="000000"/>
                <w:sz w:val="24"/>
              </w:rPr>
              <w:t>实际完成率为100%，满足指标要求，该指标得满分。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ascii="仿宋_GB2312"/>
                <w:color w:val="000000"/>
                <w:kern w:val="0"/>
                <w:sz w:val="24"/>
                <w:lang w:bidi="ar"/>
              </w:rPr>
            </w:pPr>
            <w:r>
              <w:rPr>
                <w:rFonts w:hint="eastAsia" w:ascii="仿宋_GB2312"/>
                <w:color w:val="000000"/>
                <w:kern w:val="0"/>
                <w:sz w:val="24"/>
                <w:lang w:bidi="ar"/>
              </w:rPr>
              <w:t>8</w:t>
            </w:r>
          </w:p>
        </w:tc>
      </w:tr>
      <w:tr>
        <w:tblPrEx>
          <w:tblCellMar>
            <w:top w:w="0" w:type="dxa"/>
            <w:left w:w="108" w:type="dxa"/>
            <w:bottom w:w="0" w:type="dxa"/>
            <w:right w:w="108" w:type="dxa"/>
          </w:tblCellMar>
        </w:tblPrEx>
        <w:trPr>
          <w:trHeight w:val="23" w:hRule="atLeast"/>
        </w:trPr>
        <w:tc>
          <w:tcPr>
            <w:tcW w:w="749" w:type="dxa"/>
            <w:vMerge w:val="continue"/>
            <w:tcBorders>
              <w:left w:val="single" w:color="auto" w:sz="4" w:space="0"/>
              <w:right w:val="single" w:color="auto" w:sz="4" w:space="0"/>
            </w:tcBorders>
            <w:shd w:val="clear" w:color="auto" w:fill="auto"/>
            <w:vAlign w:val="center"/>
          </w:tcPr>
          <w:p>
            <w:pPr>
              <w:widowControl/>
              <w:spacing w:line="240" w:lineRule="auto"/>
              <w:ind w:firstLine="0" w:firstLineChars="0"/>
              <w:jc w:val="center"/>
              <w:textAlignment w:val="center"/>
              <w:rPr>
                <w:rFonts w:ascii="仿宋_GB2312"/>
                <w:kern w:val="0"/>
                <w:sz w:val="24"/>
                <w:lang w:bidi="ar"/>
              </w:rPr>
            </w:pPr>
          </w:p>
        </w:tc>
        <w:tc>
          <w:tcPr>
            <w:tcW w:w="919"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kern w:val="0"/>
                <w:sz w:val="24"/>
                <w:lang w:bidi="ar"/>
              </w:rPr>
            </w:pPr>
            <w:r>
              <w:rPr>
                <w:rFonts w:hint="eastAsia" w:ascii="仿宋_GB2312"/>
                <w:kern w:val="0"/>
                <w:sz w:val="24"/>
                <w:lang w:bidi="ar"/>
              </w:rPr>
              <w:t>产出质量（8分）</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kern w:val="0"/>
                <w:sz w:val="24"/>
                <w:lang w:bidi="ar"/>
              </w:rPr>
            </w:pPr>
            <w:r>
              <w:rPr>
                <w:rFonts w:hint="eastAsia" w:ascii="仿宋_GB2312"/>
                <w:kern w:val="0"/>
                <w:sz w:val="24"/>
                <w:lang w:bidi="ar"/>
              </w:rPr>
              <w:t>主体工程合格率</w:t>
            </w:r>
          </w:p>
        </w:tc>
        <w:tc>
          <w:tcPr>
            <w:tcW w:w="8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textAlignment w:val="center"/>
              <w:rPr>
                <w:rFonts w:ascii="仿宋_GB2312"/>
                <w:kern w:val="0"/>
                <w:sz w:val="24"/>
                <w:lang w:bidi="ar"/>
              </w:rPr>
            </w:pPr>
            <w:r>
              <w:rPr>
                <w:rFonts w:hint="eastAsia" w:ascii="仿宋_GB2312"/>
                <w:kern w:val="0"/>
                <w:sz w:val="24"/>
                <w:lang w:bidi="ar"/>
              </w:rPr>
              <w:t>100.00%</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仿宋_GB2312"/>
                <w:kern w:val="0"/>
                <w:sz w:val="24"/>
                <w:lang w:bidi="ar"/>
              </w:rPr>
            </w:pPr>
            <w:r>
              <w:rPr>
                <w:rFonts w:hint="eastAsia" w:ascii="仿宋_GB2312"/>
                <w:kern w:val="0"/>
                <w:sz w:val="24"/>
                <w:lang w:bidi="ar"/>
              </w:rPr>
              <w:t>8</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kern w:val="0"/>
                <w:sz w:val="24"/>
                <w:lang w:bidi="ar"/>
              </w:rPr>
            </w:pPr>
            <w:r>
              <w:rPr>
                <w:rFonts w:hint="eastAsia" w:ascii="仿宋_GB2312"/>
                <w:kern w:val="0"/>
                <w:sz w:val="24"/>
                <w:lang w:bidi="ar"/>
              </w:rPr>
              <w:t>考察工程的相关质量是否达到相应标准，验收是否合格。</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kern w:val="0"/>
                <w:sz w:val="24"/>
                <w:lang w:bidi="ar"/>
              </w:rPr>
            </w:pPr>
            <w:r>
              <w:rPr>
                <w:rFonts w:hint="eastAsia" w:ascii="仿宋_GB2312"/>
                <w:kern w:val="0"/>
                <w:sz w:val="24"/>
                <w:lang w:bidi="ar"/>
              </w:rPr>
              <w:t>合格率=主体工程验收合格工程量/主体工程建设工程量</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kern w:val="0"/>
                <w:sz w:val="24"/>
                <w:lang w:bidi="ar"/>
              </w:rPr>
            </w:pPr>
            <w:r>
              <w:rPr>
                <w:rFonts w:hint="eastAsia" w:ascii="仿宋_GB2312"/>
                <w:kern w:val="0"/>
                <w:sz w:val="24"/>
                <w:lang w:bidi="ar"/>
              </w:rPr>
              <w:t>合格率达到100%得满分权重分，每下降1%扣1%权重分，直至零分。</w:t>
            </w:r>
          </w:p>
        </w:tc>
        <w:tc>
          <w:tcPr>
            <w:tcW w:w="3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color w:val="000000"/>
                <w:kern w:val="0"/>
                <w:sz w:val="24"/>
                <w:lang w:bidi="ar"/>
              </w:rPr>
            </w:pPr>
            <w:r>
              <w:rPr>
                <w:rFonts w:hint="eastAsia" w:ascii="仿宋_GB2312" w:hAnsi="等线"/>
                <w:color w:val="000000"/>
                <w:sz w:val="24"/>
              </w:rPr>
              <w:t>主体工程合格率100%,该指标得满分。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ascii="仿宋_GB2312"/>
                <w:color w:val="000000"/>
                <w:kern w:val="0"/>
                <w:sz w:val="24"/>
                <w:lang w:bidi="ar"/>
              </w:rPr>
            </w:pPr>
            <w:r>
              <w:rPr>
                <w:rFonts w:hint="eastAsia" w:ascii="仿宋_GB2312"/>
                <w:color w:val="000000"/>
                <w:kern w:val="0"/>
                <w:sz w:val="24"/>
                <w:lang w:bidi="ar"/>
              </w:rPr>
              <w:t>8</w:t>
            </w:r>
          </w:p>
        </w:tc>
      </w:tr>
      <w:tr>
        <w:tblPrEx>
          <w:tblCellMar>
            <w:top w:w="0" w:type="dxa"/>
            <w:left w:w="108" w:type="dxa"/>
            <w:bottom w:w="0" w:type="dxa"/>
            <w:right w:w="108" w:type="dxa"/>
          </w:tblCellMar>
        </w:tblPrEx>
        <w:trPr>
          <w:trHeight w:val="23" w:hRule="atLeast"/>
        </w:trPr>
        <w:tc>
          <w:tcPr>
            <w:tcW w:w="749" w:type="dxa"/>
            <w:vMerge w:val="continue"/>
            <w:tcBorders>
              <w:left w:val="single" w:color="auto" w:sz="4" w:space="0"/>
              <w:right w:val="single" w:color="auto" w:sz="4" w:space="0"/>
            </w:tcBorders>
            <w:shd w:val="clear" w:color="auto" w:fill="auto"/>
            <w:vAlign w:val="center"/>
          </w:tcPr>
          <w:p>
            <w:pPr>
              <w:widowControl/>
              <w:spacing w:line="240" w:lineRule="auto"/>
              <w:ind w:firstLine="0" w:firstLineChars="0"/>
              <w:jc w:val="center"/>
              <w:textAlignment w:val="center"/>
              <w:rPr>
                <w:rFonts w:ascii="仿宋_GB2312"/>
                <w:kern w:val="0"/>
                <w:sz w:val="24"/>
                <w:lang w:bidi="ar"/>
              </w:rPr>
            </w:pPr>
          </w:p>
        </w:tc>
        <w:tc>
          <w:tcPr>
            <w:tcW w:w="919"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kern w:val="0"/>
                <w:sz w:val="24"/>
                <w:lang w:bidi="ar"/>
              </w:rPr>
            </w:pPr>
            <w:r>
              <w:rPr>
                <w:rFonts w:hint="eastAsia" w:ascii="仿宋_GB2312"/>
                <w:kern w:val="0"/>
                <w:sz w:val="24"/>
                <w:lang w:bidi="ar"/>
              </w:rPr>
              <w:t>产出时效（6分）</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kern w:val="0"/>
                <w:sz w:val="24"/>
                <w:lang w:bidi="ar"/>
              </w:rPr>
            </w:pPr>
            <w:r>
              <w:rPr>
                <w:rFonts w:hint="eastAsia" w:ascii="仿宋_GB2312"/>
                <w:kern w:val="0"/>
                <w:sz w:val="24"/>
                <w:lang w:bidi="ar"/>
              </w:rPr>
              <w:t>工程建设按期完工率</w:t>
            </w:r>
          </w:p>
        </w:tc>
        <w:tc>
          <w:tcPr>
            <w:tcW w:w="8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textAlignment w:val="center"/>
              <w:rPr>
                <w:rFonts w:ascii="仿宋_GB2312"/>
                <w:kern w:val="0"/>
                <w:sz w:val="24"/>
                <w:lang w:bidi="ar"/>
              </w:rPr>
            </w:pPr>
            <w:r>
              <w:rPr>
                <w:rFonts w:hint="eastAsia" w:ascii="仿宋_GB2312"/>
                <w:kern w:val="0"/>
                <w:sz w:val="24"/>
                <w:lang w:bidi="ar"/>
              </w:rPr>
              <w:t>100.00%</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仿宋_GB2312"/>
                <w:kern w:val="0"/>
                <w:sz w:val="24"/>
                <w:lang w:bidi="ar"/>
              </w:rPr>
            </w:pPr>
            <w:r>
              <w:rPr>
                <w:rFonts w:hint="eastAsia" w:ascii="仿宋_GB2312"/>
                <w:kern w:val="0"/>
                <w:sz w:val="24"/>
                <w:lang w:bidi="ar"/>
              </w:rPr>
              <w:t>6</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kern w:val="0"/>
                <w:sz w:val="24"/>
                <w:lang w:bidi="ar"/>
              </w:rPr>
            </w:pPr>
            <w:r>
              <w:rPr>
                <w:rFonts w:hint="eastAsia" w:ascii="仿宋_GB2312"/>
                <w:kern w:val="0"/>
                <w:sz w:val="24"/>
                <w:lang w:bidi="ar"/>
              </w:rPr>
              <w:t>考察项目工程建设完成时效</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kern w:val="0"/>
                <w:sz w:val="24"/>
                <w:lang w:bidi="ar"/>
              </w:rPr>
            </w:pPr>
            <w:r>
              <w:rPr>
                <w:rFonts w:hint="eastAsia" w:ascii="仿宋_GB2312"/>
                <w:kern w:val="0"/>
                <w:sz w:val="24"/>
                <w:lang w:bidi="ar"/>
              </w:rPr>
              <w:t>按期完工率=按期完工的数量/工程总量</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kern w:val="0"/>
                <w:sz w:val="24"/>
                <w:lang w:bidi="ar"/>
              </w:rPr>
            </w:pPr>
            <w:r>
              <w:rPr>
                <w:rFonts w:hint="eastAsia" w:ascii="仿宋_GB2312"/>
                <w:kern w:val="0"/>
                <w:sz w:val="24"/>
                <w:lang w:bidi="ar"/>
              </w:rPr>
              <w:t>完工率达到100%得满分权重分，每下降1%扣1%权重分，直至零分。</w:t>
            </w:r>
          </w:p>
        </w:tc>
        <w:tc>
          <w:tcPr>
            <w:tcW w:w="3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color w:val="000000"/>
                <w:kern w:val="0"/>
                <w:sz w:val="24"/>
                <w:lang w:bidi="ar"/>
              </w:rPr>
            </w:pPr>
            <w:r>
              <w:rPr>
                <w:rFonts w:hint="eastAsia" w:ascii="仿宋_GB2312" w:hAnsi="等线"/>
                <w:color w:val="000000"/>
                <w:sz w:val="24"/>
              </w:rPr>
              <w:t>工程建设按期完工率达到100%,该指标得满分。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ascii="仿宋_GB2312"/>
                <w:color w:val="000000"/>
                <w:kern w:val="0"/>
                <w:sz w:val="24"/>
                <w:lang w:bidi="ar"/>
              </w:rPr>
            </w:pPr>
            <w:r>
              <w:rPr>
                <w:rFonts w:hint="eastAsia" w:ascii="仿宋_GB2312"/>
                <w:color w:val="000000"/>
                <w:kern w:val="0"/>
                <w:sz w:val="24"/>
                <w:lang w:bidi="ar"/>
              </w:rPr>
              <w:t>6</w:t>
            </w:r>
          </w:p>
        </w:tc>
      </w:tr>
      <w:tr>
        <w:tblPrEx>
          <w:tblCellMar>
            <w:top w:w="0" w:type="dxa"/>
            <w:left w:w="108" w:type="dxa"/>
            <w:bottom w:w="0" w:type="dxa"/>
            <w:right w:w="108" w:type="dxa"/>
          </w:tblCellMar>
        </w:tblPrEx>
        <w:trPr>
          <w:trHeight w:val="23" w:hRule="atLeast"/>
        </w:trPr>
        <w:tc>
          <w:tcPr>
            <w:tcW w:w="749" w:type="dxa"/>
            <w:vMerge w:val="continue"/>
            <w:tcBorders>
              <w:left w:val="single" w:color="auto" w:sz="4" w:space="0"/>
              <w:bottom w:val="single" w:color="000000" w:sz="4" w:space="0"/>
              <w:right w:val="single" w:color="auto" w:sz="4" w:space="0"/>
            </w:tcBorders>
            <w:shd w:val="clear" w:color="auto" w:fill="auto"/>
            <w:vAlign w:val="center"/>
          </w:tcPr>
          <w:p>
            <w:pPr>
              <w:widowControl/>
              <w:spacing w:line="240" w:lineRule="auto"/>
              <w:ind w:firstLine="0" w:firstLineChars="0"/>
              <w:jc w:val="center"/>
              <w:textAlignment w:val="center"/>
              <w:rPr>
                <w:rFonts w:ascii="仿宋_GB2312"/>
                <w:kern w:val="0"/>
                <w:sz w:val="24"/>
                <w:lang w:bidi="ar"/>
              </w:rPr>
            </w:pPr>
          </w:p>
        </w:tc>
        <w:tc>
          <w:tcPr>
            <w:tcW w:w="919"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kern w:val="0"/>
                <w:sz w:val="24"/>
                <w:lang w:bidi="ar"/>
              </w:rPr>
            </w:pPr>
            <w:r>
              <w:rPr>
                <w:rFonts w:hint="eastAsia" w:ascii="仿宋_GB2312"/>
                <w:kern w:val="0"/>
                <w:sz w:val="24"/>
                <w:lang w:bidi="ar"/>
              </w:rPr>
              <w:t>经济成本（8分）</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kern w:val="0"/>
                <w:sz w:val="24"/>
                <w:lang w:bidi="ar"/>
              </w:rPr>
            </w:pPr>
            <w:r>
              <w:rPr>
                <w:rFonts w:hint="eastAsia" w:ascii="仿宋_GB2312"/>
                <w:kern w:val="0"/>
                <w:sz w:val="24"/>
                <w:lang w:bidi="ar"/>
              </w:rPr>
              <w:t>超概率</w:t>
            </w:r>
          </w:p>
        </w:tc>
        <w:tc>
          <w:tcPr>
            <w:tcW w:w="8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textAlignment w:val="center"/>
              <w:rPr>
                <w:rFonts w:ascii="仿宋_GB2312"/>
                <w:kern w:val="0"/>
                <w:sz w:val="24"/>
                <w:lang w:bidi="ar"/>
              </w:rPr>
            </w:pPr>
            <w:r>
              <w:rPr>
                <w:rFonts w:hint="eastAsia" w:ascii="仿宋_GB2312"/>
                <w:kern w:val="0"/>
                <w:sz w:val="24"/>
                <w:lang w:bidi="ar"/>
              </w:rPr>
              <w:t>0%</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仿宋_GB2312"/>
                <w:kern w:val="0"/>
                <w:sz w:val="24"/>
                <w:lang w:bidi="ar"/>
              </w:rPr>
            </w:pPr>
            <w:r>
              <w:rPr>
                <w:rFonts w:hint="eastAsia" w:ascii="仿宋_GB2312"/>
                <w:kern w:val="0"/>
                <w:sz w:val="24"/>
                <w:lang w:bidi="ar"/>
              </w:rPr>
              <w:t>8</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kern w:val="0"/>
                <w:sz w:val="24"/>
                <w:lang w:bidi="ar"/>
              </w:rPr>
            </w:pPr>
            <w:r>
              <w:rPr>
                <w:rFonts w:hint="eastAsia" w:ascii="仿宋_GB2312"/>
                <w:kern w:val="0"/>
                <w:sz w:val="24"/>
                <w:lang w:bidi="ar"/>
              </w:rPr>
              <w:t>考察项目支出是否符合概算批复的标准。</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kern w:val="0"/>
                <w:sz w:val="24"/>
                <w:lang w:bidi="ar"/>
              </w:rPr>
            </w:pPr>
            <w:r>
              <w:rPr>
                <w:rFonts w:hint="eastAsia" w:ascii="仿宋_GB2312"/>
                <w:kern w:val="0"/>
                <w:sz w:val="24"/>
                <w:lang w:bidi="ar"/>
              </w:rPr>
              <w:t>以批复的概算文件为准，未超过概算批复，否则不得分。</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kern w:val="0"/>
                <w:sz w:val="24"/>
                <w:lang w:bidi="ar"/>
              </w:rPr>
            </w:pPr>
            <w:r>
              <w:rPr>
                <w:rFonts w:hint="eastAsia" w:ascii="仿宋_GB2312"/>
                <w:kern w:val="0"/>
                <w:sz w:val="24"/>
                <w:lang w:bidi="ar"/>
              </w:rPr>
              <w:t>未超概算得满分，超概算不得分。</w:t>
            </w:r>
          </w:p>
        </w:tc>
        <w:tc>
          <w:tcPr>
            <w:tcW w:w="3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color w:val="000000"/>
                <w:kern w:val="0"/>
                <w:sz w:val="24"/>
                <w:lang w:bidi="ar"/>
              </w:rPr>
            </w:pPr>
            <w:r>
              <w:rPr>
                <w:rFonts w:hint="eastAsia" w:ascii="仿宋_GB2312" w:hAnsi="等线"/>
                <w:color w:val="000000"/>
                <w:sz w:val="24"/>
              </w:rPr>
              <w:t>项目批复概算金额154,746.84万元，项目支出符合概算批复的标准，实际完成值符合要求。项目的资金支出严格按照国家相关规定执行，做到项目专款专用。该指标得满分。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ascii="仿宋_GB2312"/>
                <w:color w:val="000000"/>
                <w:kern w:val="0"/>
                <w:sz w:val="24"/>
                <w:lang w:bidi="ar"/>
              </w:rPr>
            </w:pPr>
            <w:r>
              <w:rPr>
                <w:rFonts w:hint="eastAsia" w:ascii="仿宋_GB2312"/>
                <w:color w:val="000000"/>
                <w:kern w:val="0"/>
                <w:sz w:val="24"/>
                <w:lang w:bidi="ar"/>
              </w:rPr>
              <w:t>8</w:t>
            </w:r>
          </w:p>
        </w:tc>
      </w:tr>
      <w:tr>
        <w:tblPrEx>
          <w:tblCellMar>
            <w:top w:w="0" w:type="dxa"/>
            <w:left w:w="108" w:type="dxa"/>
            <w:bottom w:w="0" w:type="dxa"/>
            <w:right w:w="108" w:type="dxa"/>
          </w:tblCellMar>
        </w:tblPrEx>
        <w:trPr>
          <w:trHeight w:val="23" w:hRule="atLeast"/>
        </w:trPr>
        <w:tc>
          <w:tcPr>
            <w:tcW w:w="749" w:type="dxa"/>
            <w:vMerge w:val="restart"/>
            <w:tcBorders>
              <w:top w:val="single" w:color="000000" w:sz="4" w:space="0"/>
              <w:left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效益（30分）</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社会效益（15分）</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省道改建路段完好率</w:t>
            </w:r>
          </w:p>
        </w:tc>
        <w:tc>
          <w:tcPr>
            <w:tcW w:w="8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≥95%</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15</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考察项目实施对省道改建路段路面保护情况</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完好率=对省道改建路段完好里程/对省道改建路段建设总里程。</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完好率达到≥95%得满分权重分，每下降1%扣1.05%权重分，直至零分。</w:t>
            </w:r>
          </w:p>
        </w:tc>
        <w:tc>
          <w:tcPr>
            <w:tcW w:w="3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hAnsi="等线"/>
                <w:color w:val="000000"/>
                <w:sz w:val="24"/>
              </w:rPr>
              <w:t>省道改建路段完好率100%，基本达成目标，该指标得满分。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ascii="仿宋_GB2312"/>
                <w:color w:val="000000"/>
                <w:kern w:val="0"/>
                <w:sz w:val="24"/>
                <w:lang w:bidi="ar"/>
              </w:rPr>
            </w:pPr>
            <w:r>
              <w:rPr>
                <w:rFonts w:hint="eastAsia" w:ascii="仿宋_GB2312"/>
                <w:color w:val="000000"/>
                <w:kern w:val="0"/>
                <w:sz w:val="24"/>
                <w:lang w:bidi="ar"/>
              </w:rPr>
              <w:t>15</w:t>
            </w:r>
          </w:p>
        </w:tc>
      </w:tr>
      <w:tr>
        <w:tblPrEx>
          <w:tblCellMar>
            <w:top w:w="0" w:type="dxa"/>
            <w:left w:w="108" w:type="dxa"/>
            <w:bottom w:w="0" w:type="dxa"/>
            <w:right w:w="108" w:type="dxa"/>
          </w:tblCellMar>
        </w:tblPrEx>
        <w:trPr>
          <w:trHeight w:val="23" w:hRule="atLeast"/>
        </w:trPr>
        <w:tc>
          <w:tcPr>
            <w:tcW w:w="749" w:type="dxa"/>
            <w:vMerge w:val="continue"/>
            <w:tcBorders>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kern w:val="0"/>
                <w:sz w:val="24"/>
                <w:lang w:bidi="ar"/>
              </w:rPr>
            </w:pP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社会效益（15分）</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海南省中北部地区运输条件</w:t>
            </w:r>
          </w:p>
        </w:tc>
        <w:tc>
          <w:tcPr>
            <w:tcW w:w="8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改善</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15</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考察项目是否改善海南省中北部地区运输条件。</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考察通过该项目实施建设，是否改善海南省中北部地区运输条件。</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kern w:val="0"/>
                <w:sz w:val="24"/>
                <w:lang w:bidi="ar"/>
              </w:rPr>
              <w:t>分为基本达成目标、部分实现目标、实现目标程度较低三个档次，依据实际情况作三级判断。</w:t>
            </w:r>
          </w:p>
        </w:tc>
        <w:tc>
          <w:tcPr>
            <w:tcW w:w="3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sz w:val="24"/>
              </w:rPr>
            </w:pPr>
            <w:r>
              <w:rPr>
                <w:rFonts w:hint="eastAsia" w:ascii="仿宋_GB2312" w:hAnsi="等线"/>
                <w:color w:val="000000"/>
                <w:sz w:val="24"/>
              </w:rPr>
              <w:t>省道S303屯大线雨水岭大道至大拉段改建工程项目是我省交通主干线路网的重要组成部分，项目连接屯昌县、澄迈县各乡镇，是琼北地区之间往来的重要通道。项目的实施将有利于提高道路服务水平，改善海南省中北部地区运输条件。由于项目未建设完成，效果未完全实现，该指标扣10%权重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ascii="仿宋_GB2312"/>
                <w:color w:val="000000"/>
                <w:kern w:val="0"/>
                <w:sz w:val="24"/>
                <w:lang w:bidi="ar"/>
              </w:rPr>
            </w:pPr>
            <w:r>
              <w:rPr>
                <w:rFonts w:hint="eastAsia" w:ascii="仿宋_GB2312"/>
                <w:color w:val="000000"/>
                <w:kern w:val="0"/>
                <w:sz w:val="24"/>
                <w:lang w:bidi="ar"/>
              </w:rPr>
              <w:t>13.50</w:t>
            </w:r>
          </w:p>
        </w:tc>
      </w:tr>
      <w:tr>
        <w:tblPrEx>
          <w:tblCellMar>
            <w:top w:w="0" w:type="dxa"/>
            <w:left w:w="108" w:type="dxa"/>
            <w:bottom w:w="0" w:type="dxa"/>
            <w:right w:w="108" w:type="dxa"/>
          </w:tblCellMar>
        </w:tblPrEx>
        <w:trPr>
          <w:trHeight w:val="23" w:hRule="atLeast"/>
        </w:trPr>
        <w:tc>
          <w:tcPr>
            <w:tcW w:w="348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b/>
                <w:bCs/>
                <w:sz w:val="24"/>
              </w:rPr>
            </w:pPr>
            <w:r>
              <w:rPr>
                <w:rFonts w:hint="eastAsia" w:ascii="仿宋_GB2312"/>
                <w:b/>
                <w:bCs/>
                <w:kern w:val="0"/>
                <w:sz w:val="24"/>
                <w:lang w:bidi="ar"/>
              </w:rPr>
              <w:t>合计</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b/>
                <w:bCs/>
                <w:sz w:val="24"/>
              </w:rPr>
            </w:pPr>
            <w:r>
              <w:rPr>
                <w:rFonts w:hint="eastAsia" w:ascii="仿宋_GB2312"/>
                <w:b/>
                <w:bCs/>
                <w:kern w:val="0"/>
                <w:sz w:val="24"/>
                <w:lang w:bidi="ar"/>
              </w:rPr>
              <w:t>100</w:t>
            </w:r>
          </w:p>
        </w:tc>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b/>
                <w:bCs/>
                <w:sz w:val="24"/>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b/>
                <w:bCs/>
                <w:sz w:val="24"/>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b/>
                <w:bCs/>
                <w:sz w:val="24"/>
              </w:rPr>
            </w:pPr>
          </w:p>
        </w:tc>
        <w:tc>
          <w:tcPr>
            <w:tcW w:w="329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2"/>
              <w:jc w:val="center"/>
              <w:rPr>
                <w:rFonts w:ascii="仿宋_GB2312"/>
                <w:b/>
                <w:bCs/>
                <w:sz w:val="24"/>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ascii="仿宋_GB2312"/>
                <w:b/>
                <w:bCs/>
                <w:color w:val="000000"/>
                <w:kern w:val="0"/>
                <w:sz w:val="24"/>
                <w:lang w:bidi="ar"/>
              </w:rPr>
            </w:pPr>
            <w:r>
              <w:rPr>
                <w:rFonts w:hint="eastAsia" w:ascii="仿宋_GB2312"/>
                <w:b/>
                <w:bCs/>
                <w:color w:val="000000"/>
                <w:kern w:val="0"/>
                <w:sz w:val="24"/>
                <w:lang w:bidi="ar"/>
              </w:rPr>
              <w:t>97.50</w:t>
            </w:r>
          </w:p>
        </w:tc>
      </w:tr>
    </w:tbl>
    <w:p>
      <w:pPr>
        <w:pStyle w:val="5"/>
        <w:ind w:firstLine="0" w:firstLineChars="0"/>
        <w:rPr>
          <w:rFonts w:ascii="仿宋_GB2312"/>
        </w:rPr>
      </w:pPr>
    </w:p>
    <w:sectPr>
      <w:headerReference r:id="rId15" w:type="default"/>
      <w:footerReference r:id="rId16" w:type="default"/>
      <w:pgSz w:w="16838" w:h="11906" w:orient="landscape"/>
      <w:pgMar w:top="1440" w:right="1797" w:bottom="1440" w:left="1797" w:header="851" w:footer="992" w:gutter="0"/>
      <w:cols w:space="0"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Songti SC">
    <w:altName w:val="宋体"/>
    <w:panose1 w:val="00000000000000000000"/>
    <w:charset w:val="86"/>
    <w:family w:val="auto"/>
    <w:pitch w:val="default"/>
    <w:sig w:usb0="00000000" w:usb1="00000000" w:usb2="00000000" w:usb3="00000000" w:csb0="00040000" w:csb1="00000000"/>
  </w:font>
  <w:font w:name="DejaVu Sans">
    <w:panose1 w:val="020B0603030804020204"/>
    <w:charset w:val="00"/>
    <w:family w:val="roman"/>
    <w:pitch w:val="default"/>
    <w:sig w:usb0="E7006EFF" w:usb1="D200FDFF" w:usb2="0A246029" w:usb3="0400200C" w:csb0="600001FF" w:csb1="DFFF0000"/>
  </w:font>
  <w:font w:name="MingLiU">
    <w:altName w:val="MS Gothic"/>
    <w:panose1 w:val="02010609000101010101"/>
    <w:charset w:val="88"/>
    <w:family w:val="modern"/>
    <w:pitch w:val="default"/>
    <w:sig w:usb0="00000000" w:usb1="00000000" w:usb2="00000016" w:usb3="00000000" w:csb0="00100001" w:csb1="00000000"/>
  </w:font>
  <w:font w:name="方正书宋_GBK">
    <w:panose1 w:val="02000000000000000000"/>
    <w:charset w:val="86"/>
    <w:family w:val="auto"/>
    <w:pitch w:val="default"/>
    <w:sig w:usb0="00000001" w:usb1="08000000" w:usb2="00000000" w:usb3="00000000" w:csb0="0004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Impact">
    <w:panose1 w:val="020B0806030902050204"/>
    <w:charset w:val="00"/>
    <w:family w:val="auto"/>
    <w:pitch w:val="default"/>
    <w:sig w:usb0="00000287" w:usb1="00000000" w:usb2="00000000" w:usb3="00000000" w:csb0="2000009F" w:csb1="DFD7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6902817"/>
      <w:docPartObj>
        <w:docPartGallery w:val="AutoText"/>
      </w:docPartObj>
    </w:sdtPr>
    <w:sdtEndPr>
      <w:rPr>
        <w:sz w:val="28"/>
        <w:szCs w:val="28"/>
      </w:rPr>
    </w:sdtEndPr>
    <w:sdtContent>
      <w:p>
        <w:pPr>
          <w:pStyle w:val="11"/>
          <w:ind w:firstLine="360"/>
          <w:jc w:val="center"/>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w:t>
        </w:r>
        <w:r>
          <w:rPr>
            <w:sz w:val="28"/>
            <w:szCs w:val="28"/>
          </w:rPr>
          <w:fldChar w:fldCharType="end"/>
        </w:r>
      </w:p>
    </w:sdtContent>
  </w:sdt>
  <w:p>
    <w:pPr>
      <w:pStyle w:val="11"/>
      <w:tabs>
        <w:tab w:val="clear" w:pos="4153"/>
      </w:tabs>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0" w:firstLineChars="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37</w:t>
                          </w:r>
                          <w:r>
                            <w:rPr>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11"/>
                      <w:ind w:firstLine="0" w:firstLineChars="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37</w:t>
                    </w:r>
                    <w:r>
                      <w:rPr>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D7ECC7"/>
    <w:multiLevelType w:val="singleLevel"/>
    <w:tmpl w:val="11D7ECC7"/>
    <w:lvl w:ilvl="0" w:tentative="0">
      <w:start w:val="5"/>
      <w:numFmt w:val="chineseCounting"/>
      <w:suff w:val="nothing"/>
      <w:lvlText w:val="%1、"/>
      <w:lvlJc w:val="left"/>
      <w:rPr>
        <w:rFonts w:hint="eastAsia"/>
      </w:rPr>
    </w:lvl>
  </w:abstractNum>
  <w:abstractNum w:abstractNumId="1">
    <w:nsid w:val="5AF1088E"/>
    <w:multiLevelType w:val="multilevel"/>
    <w:tmpl w:val="5AF1088E"/>
    <w:lvl w:ilvl="0" w:tentative="0">
      <w:start w:val="1"/>
      <w:numFmt w:val="chineseCountingThousand"/>
      <w:pStyle w:val="29"/>
      <w:suff w:val="space"/>
      <w:lvlText w:val="%1、"/>
      <w:lvlJc w:val="left"/>
      <w:pPr>
        <w:ind w:left="3543" w:hanging="425"/>
      </w:pPr>
      <w:rPr>
        <w:rFonts w:hint="eastAsia" w:eastAsia="宋体"/>
        <w:color w:val="auto"/>
        <w:sz w:val="36"/>
      </w:rPr>
    </w:lvl>
    <w:lvl w:ilvl="1" w:tentative="0">
      <w:start w:val="1"/>
      <w:numFmt w:val="decimal"/>
      <w:lvlRestart w:val="0"/>
      <w:pStyle w:val="28"/>
      <w:isLgl/>
      <w:suff w:val="space"/>
      <w:lvlText w:val="%1.%2"/>
      <w:lvlJc w:val="left"/>
      <w:pPr>
        <w:ind w:left="425" w:hanging="425"/>
      </w:pPr>
      <w:rPr>
        <w:rFonts w:ascii="宋体" w:hAnsi="宋体" w:eastAsia="宋体"/>
        <w:sz w:val="32"/>
        <w:szCs w:val="32"/>
      </w:rPr>
    </w:lvl>
    <w:lvl w:ilvl="2" w:tentative="0">
      <w:start w:val="1"/>
      <w:numFmt w:val="decimal"/>
      <w:lvlRestart w:val="0"/>
      <w:pStyle w:val="27"/>
      <w:isLgl/>
      <w:suff w:val="space"/>
      <w:lvlText w:val="%1.%2.%3"/>
      <w:lvlJc w:val="left"/>
      <w:pPr>
        <w:ind w:left="425" w:hanging="425"/>
      </w:pPr>
      <w:rPr>
        <w:rFonts w:ascii="宋体" w:hAnsi="宋体" w:eastAsia="宋体"/>
        <w:sz w:val="28"/>
        <w:szCs w:val="28"/>
      </w:rPr>
    </w:lvl>
    <w:lvl w:ilvl="3" w:tentative="0">
      <w:start w:val="1"/>
      <w:numFmt w:val="decimal"/>
      <w:lvlRestart w:val="0"/>
      <w:pStyle w:val="26"/>
      <w:isLgl/>
      <w:suff w:val="space"/>
      <w:lvlText w:val="%1.%2.%3.%4"/>
      <w:lvlJc w:val="left"/>
      <w:pPr>
        <w:ind w:left="425" w:hanging="425"/>
      </w:pPr>
      <w:rPr>
        <w:rFonts w:hint="eastAsia" w:ascii="宋体" w:hAnsi="宋体" w:eastAsia="宋体"/>
        <w:b/>
        <w:bCs w:val="0"/>
        <w:sz w:val="24"/>
      </w:rPr>
    </w:lvl>
    <w:lvl w:ilvl="4" w:tentative="0">
      <w:start w:val="1"/>
      <w:numFmt w:val="decimal"/>
      <w:lvlRestart w:val="0"/>
      <w:isLgl/>
      <w:suff w:val="space"/>
      <w:lvlText w:val="%1.%2.%3.%4.%5"/>
      <w:lvlJc w:val="left"/>
      <w:pPr>
        <w:ind w:left="425" w:hanging="425"/>
      </w:pPr>
      <w:rPr>
        <w:rFonts w:hint="eastAsia" w:ascii="宋体" w:hAnsi="宋体" w:eastAsia="宋体"/>
        <w:sz w:val="24"/>
      </w:rPr>
    </w:lvl>
    <w:lvl w:ilvl="5" w:tentative="0">
      <w:start w:val="1"/>
      <w:numFmt w:val="decimal"/>
      <w:lvlRestart w:val="0"/>
      <w:isLgl/>
      <w:suff w:val="space"/>
      <w:lvlText w:val="%1.%2.%3.%4.%5.%6"/>
      <w:lvlJc w:val="left"/>
      <w:pPr>
        <w:ind w:left="425" w:hanging="425"/>
      </w:pPr>
      <w:rPr>
        <w:rFonts w:hint="eastAsia" w:ascii="宋体" w:hAnsi="宋体" w:eastAsia="宋体"/>
        <w:sz w:val="24"/>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60DDAB6A"/>
    <w:multiLevelType w:val="singleLevel"/>
    <w:tmpl w:val="60DDAB6A"/>
    <w:lvl w:ilvl="0" w:tentative="0">
      <w:start w:val="3"/>
      <w:numFmt w:val="chineseCounting"/>
      <w:suff w:val="nothing"/>
      <w:lvlText w:val="（%1）"/>
      <w:lvlJc w:val="left"/>
    </w:lvl>
  </w:abstractNum>
  <w:abstractNum w:abstractNumId="3">
    <w:nsid w:val="60DDAD03"/>
    <w:multiLevelType w:val="singleLevel"/>
    <w:tmpl w:val="60DDAD03"/>
    <w:lvl w:ilvl="0" w:tentative="0">
      <w:start w:val="2"/>
      <w:numFmt w:val="chineseCounting"/>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HorizontalSpacing w:val="160"/>
  <w:drawingGridVerticalSpacing w:val="435"/>
  <w:displayHorizontalDrawingGridEvery w:val="2"/>
  <w:noPunctuationKerning w:val="true"/>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FD7CC992"/>
    <w:rsid w:val="00087D1A"/>
    <w:rsid w:val="00162CF6"/>
    <w:rsid w:val="001D1C48"/>
    <w:rsid w:val="00211405"/>
    <w:rsid w:val="002C66FF"/>
    <w:rsid w:val="004004B7"/>
    <w:rsid w:val="00451A09"/>
    <w:rsid w:val="005175C0"/>
    <w:rsid w:val="006473D9"/>
    <w:rsid w:val="0065711C"/>
    <w:rsid w:val="0068519D"/>
    <w:rsid w:val="006A75BC"/>
    <w:rsid w:val="006E2493"/>
    <w:rsid w:val="007E3835"/>
    <w:rsid w:val="007F4376"/>
    <w:rsid w:val="00806F36"/>
    <w:rsid w:val="00955E83"/>
    <w:rsid w:val="009C3842"/>
    <w:rsid w:val="00A87C31"/>
    <w:rsid w:val="00AC7E19"/>
    <w:rsid w:val="00C10385"/>
    <w:rsid w:val="00CA5BEC"/>
    <w:rsid w:val="00CB11E7"/>
    <w:rsid w:val="00CF0375"/>
    <w:rsid w:val="00D244C6"/>
    <w:rsid w:val="00D329B5"/>
    <w:rsid w:val="00D37758"/>
    <w:rsid w:val="00D42D94"/>
    <w:rsid w:val="00D86C32"/>
    <w:rsid w:val="00E45062"/>
    <w:rsid w:val="00EA064F"/>
    <w:rsid w:val="00F00CBD"/>
    <w:rsid w:val="00F30803"/>
    <w:rsid w:val="00FB21B5"/>
    <w:rsid w:val="00FF2331"/>
    <w:rsid w:val="014525BC"/>
    <w:rsid w:val="01FB0577"/>
    <w:rsid w:val="025F0B06"/>
    <w:rsid w:val="02C4263E"/>
    <w:rsid w:val="03A870DF"/>
    <w:rsid w:val="03E02093"/>
    <w:rsid w:val="04785EAF"/>
    <w:rsid w:val="06960945"/>
    <w:rsid w:val="06C76C7A"/>
    <w:rsid w:val="078226DC"/>
    <w:rsid w:val="08080399"/>
    <w:rsid w:val="080A5070"/>
    <w:rsid w:val="084A3978"/>
    <w:rsid w:val="09236DE8"/>
    <w:rsid w:val="092F4AD4"/>
    <w:rsid w:val="09530787"/>
    <w:rsid w:val="09540539"/>
    <w:rsid w:val="09547CAD"/>
    <w:rsid w:val="095641C3"/>
    <w:rsid w:val="09622C8A"/>
    <w:rsid w:val="09A32BE1"/>
    <w:rsid w:val="09CD758D"/>
    <w:rsid w:val="09FD3567"/>
    <w:rsid w:val="0A3665F0"/>
    <w:rsid w:val="0B275F39"/>
    <w:rsid w:val="0B2B2074"/>
    <w:rsid w:val="0B7689E6"/>
    <w:rsid w:val="0B9E30F1"/>
    <w:rsid w:val="0CD8573D"/>
    <w:rsid w:val="0E0F33E0"/>
    <w:rsid w:val="0E5C7119"/>
    <w:rsid w:val="0F4A0448"/>
    <w:rsid w:val="0F940450"/>
    <w:rsid w:val="10095029"/>
    <w:rsid w:val="101451B2"/>
    <w:rsid w:val="108C3868"/>
    <w:rsid w:val="114B7B7E"/>
    <w:rsid w:val="126E7C1A"/>
    <w:rsid w:val="12796360"/>
    <w:rsid w:val="12C30A38"/>
    <w:rsid w:val="12C57C6F"/>
    <w:rsid w:val="16496CCC"/>
    <w:rsid w:val="16585B40"/>
    <w:rsid w:val="166019A4"/>
    <w:rsid w:val="16A23725"/>
    <w:rsid w:val="174D7085"/>
    <w:rsid w:val="178F4B61"/>
    <w:rsid w:val="17FDF2DF"/>
    <w:rsid w:val="19DA102C"/>
    <w:rsid w:val="1A122025"/>
    <w:rsid w:val="1A1B6A31"/>
    <w:rsid w:val="1A3441CE"/>
    <w:rsid w:val="1A3A4662"/>
    <w:rsid w:val="1A7260D3"/>
    <w:rsid w:val="1B582DE2"/>
    <w:rsid w:val="1CC3154D"/>
    <w:rsid w:val="1DFF01EE"/>
    <w:rsid w:val="1E625D07"/>
    <w:rsid w:val="1E650DFA"/>
    <w:rsid w:val="1ED55447"/>
    <w:rsid w:val="1F7F7031"/>
    <w:rsid w:val="20384BAE"/>
    <w:rsid w:val="2187594D"/>
    <w:rsid w:val="2243684A"/>
    <w:rsid w:val="236E2625"/>
    <w:rsid w:val="25091FEC"/>
    <w:rsid w:val="25AF576B"/>
    <w:rsid w:val="26063AA3"/>
    <w:rsid w:val="261E4E9E"/>
    <w:rsid w:val="2632668D"/>
    <w:rsid w:val="266D1E70"/>
    <w:rsid w:val="27960276"/>
    <w:rsid w:val="27D066E4"/>
    <w:rsid w:val="283755B5"/>
    <w:rsid w:val="29037309"/>
    <w:rsid w:val="29E50F3A"/>
    <w:rsid w:val="2A3A313B"/>
    <w:rsid w:val="2A6E50CD"/>
    <w:rsid w:val="2A890A1C"/>
    <w:rsid w:val="2BFD7BFA"/>
    <w:rsid w:val="2CD94B09"/>
    <w:rsid w:val="2E552C39"/>
    <w:rsid w:val="2E9A2215"/>
    <w:rsid w:val="2EEF31EF"/>
    <w:rsid w:val="2F1B5F54"/>
    <w:rsid w:val="2F5FDADE"/>
    <w:rsid w:val="2FA60C74"/>
    <w:rsid w:val="308D799B"/>
    <w:rsid w:val="315D7A34"/>
    <w:rsid w:val="318E0B1B"/>
    <w:rsid w:val="32DE5E0A"/>
    <w:rsid w:val="33396BAF"/>
    <w:rsid w:val="33D26ADA"/>
    <w:rsid w:val="33D61C65"/>
    <w:rsid w:val="347A2085"/>
    <w:rsid w:val="34A70A98"/>
    <w:rsid w:val="35794430"/>
    <w:rsid w:val="35ED092C"/>
    <w:rsid w:val="3703372E"/>
    <w:rsid w:val="3792665B"/>
    <w:rsid w:val="37FB2297"/>
    <w:rsid w:val="3851701B"/>
    <w:rsid w:val="3877286A"/>
    <w:rsid w:val="39243934"/>
    <w:rsid w:val="39452033"/>
    <w:rsid w:val="39B0341A"/>
    <w:rsid w:val="3A872F07"/>
    <w:rsid w:val="3B722D63"/>
    <w:rsid w:val="3C34579D"/>
    <w:rsid w:val="3CAD1E92"/>
    <w:rsid w:val="3D8133CD"/>
    <w:rsid w:val="3E5B50F9"/>
    <w:rsid w:val="3FA36CBA"/>
    <w:rsid w:val="3FBA7BF6"/>
    <w:rsid w:val="3FCF2D51"/>
    <w:rsid w:val="3FDB1216"/>
    <w:rsid w:val="406D5BC1"/>
    <w:rsid w:val="40F005A0"/>
    <w:rsid w:val="41703303"/>
    <w:rsid w:val="43AF6445"/>
    <w:rsid w:val="445C2D2C"/>
    <w:rsid w:val="44654E01"/>
    <w:rsid w:val="44764BDD"/>
    <w:rsid w:val="45E16709"/>
    <w:rsid w:val="47033E8D"/>
    <w:rsid w:val="47BA2EFA"/>
    <w:rsid w:val="47DE479C"/>
    <w:rsid w:val="486D54AC"/>
    <w:rsid w:val="487E46E3"/>
    <w:rsid w:val="48F03833"/>
    <w:rsid w:val="4B1252D7"/>
    <w:rsid w:val="4BB07C37"/>
    <w:rsid w:val="4CC60EB8"/>
    <w:rsid w:val="4CCE1CCF"/>
    <w:rsid w:val="4D0E66E5"/>
    <w:rsid w:val="4E625BD2"/>
    <w:rsid w:val="4EEC76B8"/>
    <w:rsid w:val="4FA20B46"/>
    <w:rsid w:val="4FF14F05"/>
    <w:rsid w:val="500378B5"/>
    <w:rsid w:val="522A0FD2"/>
    <w:rsid w:val="52734456"/>
    <w:rsid w:val="52D53187"/>
    <w:rsid w:val="53210238"/>
    <w:rsid w:val="532A7941"/>
    <w:rsid w:val="549270A0"/>
    <w:rsid w:val="5602522D"/>
    <w:rsid w:val="56983E89"/>
    <w:rsid w:val="56995020"/>
    <w:rsid w:val="56E20377"/>
    <w:rsid w:val="5745617C"/>
    <w:rsid w:val="582F7893"/>
    <w:rsid w:val="586548E4"/>
    <w:rsid w:val="58B02697"/>
    <w:rsid w:val="5ABC5958"/>
    <w:rsid w:val="5ACD216B"/>
    <w:rsid w:val="5AEC2C48"/>
    <w:rsid w:val="5B3D2846"/>
    <w:rsid w:val="5B55430C"/>
    <w:rsid w:val="5B6055E3"/>
    <w:rsid w:val="5BF3E906"/>
    <w:rsid w:val="5C0A1B37"/>
    <w:rsid w:val="5C7A151B"/>
    <w:rsid w:val="5CB37833"/>
    <w:rsid w:val="5D41335A"/>
    <w:rsid w:val="5D617EE2"/>
    <w:rsid w:val="5E125962"/>
    <w:rsid w:val="5EAA4F75"/>
    <w:rsid w:val="5EBFB909"/>
    <w:rsid w:val="5EF95222"/>
    <w:rsid w:val="5FFFD8B4"/>
    <w:rsid w:val="6025023F"/>
    <w:rsid w:val="606E0BAA"/>
    <w:rsid w:val="62E91A64"/>
    <w:rsid w:val="63936767"/>
    <w:rsid w:val="64BB489D"/>
    <w:rsid w:val="64F47DAF"/>
    <w:rsid w:val="65311935"/>
    <w:rsid w:val="6533227E"/>
    <w:rsid w:val="657809E0"/>
    <w:rsid w:val="658A4894"/>
    <w:rsid w:val="66CA34BB"/>
    <w:rsid w:val="68E12566"/>
    <w:rsid w:val="6965127B"/>
    <w:rsid w:val="69F76592"/>
    <w:rsid w:val="6A1429D8"/>
    <w:rsid w:val="6A1A07A2"/>
    <w:rsid w:val="6A2D527E"/>
    <w:rsid w:val="6AF21CD5"/>
    <w:rsid w:val="6AFFC125"/>
    <w:rsid w:val="6C094140"/>
    <w:rsid w:val="6D347FE5"/>
    <w:rsid w:val="6D494975"/>
    <w:rsid w:val="6D592EA5"/>
    <w:rsid w:val="6D8B5A9D"/>
    <w:rsid w:val="6DBEA8B9"/>
    <w:rsid w:val="6DBFE8D4"/>
    <w:rsid w:val="6E106A01"/>
    <w:rsid w:val="6E6B596B"/>
    <w:rsid w:val="6F2424DB"/>
    <w:rsid w:val="6F3B5D91"/>
    <w:rsid w:val="6F62330E"/>
    <w:rsid w:val="6F7B2183"/>
    <w:rsid w:val="6FFE9CB9"/>
    <w:rsid w:val="70393A2A"/>
    <w:rsid w:val="70403C5A"/>
    <w:rsid w:val="70502754"/>
    <w:rsid w:val="70A536E3"/>
    <w:rsid w:val="715D133E"/>
    <w:rsid w:val="72C64298"/>
    <w:rsid w:val="72D17E98"/>
    <w:rsid w:val="73745B03"/>
    <w:rsid w:val="73F517ED"/>
    <w:rsid w:val="75E74F8A"/>
    <w:rsid w:val="77EE8B5A"/>
    <w:rsid w:val="77F6AB0F"/>
    <w:rsid w:val="77FD0E74"/>
    <w:rsid w:val="785A14A1"/>
    <w:rsid w:val="78674FEA"/>
    <w:rsid w:val="79B79895"/>
    <w:rsid w:val="7ACA3DAA"/>
    <w:rsid w:val="7AFF5004"/>
    <w:rsid w:val="7B164183"/>
    <w:rsid w:val="7B7F441F"/>
    <w:rsid w:val="7BF9A86E"/>
    <w:rsid w:val="7C544A18"/>
    <w:rsid w:val="7C7878C2"/>
    <w:rsid w:val="7D576805"/>
    <w:rsid w:val="7D7B6CE9"/>
    <w:rsid w:val="7DAF05F0"/>
    <w:rsid w:val="7DEF1871"/>
    <w:rsid w:val="7E65D2AD"/>
    <w:rsid w:val="7E6B8E60"/>
    <w:rsid w:val="7EFA2CC4"/>
    <w:rsid w:val="7F192494"/>
    <w:rsid w:val="7F5C78AC"/>
    <w:rsid w:val="7FAB1157"/>
    <w:rsid w:val="7FCE90AB"/>
    <w:rsid w:val="7FDCC1C8"/>
    <w:rsid w:val="7FF65121"/>
    <w:rsid w:val="9675F6EA"/>
    <w:rsid w:val="A7B7E97D"/>
    <w:rsid w:val="ADDC4017"/>
    <w:rsid w:val="ADFFA873"/>
    <w:rsid w:val="B7FF09ED"/>
    <w:rsid w:val="B7FF98EB"/>
    <w:rsid w:val="BBDBC096"/>
    <w:rsid w:val="BDFDE365"/>
    <w:rsid w:val="CFFFC2EB"/>
    <w:rsid w:val="D3EFE473"/>
    <w:rsid w:val="DCE63318"/>
    <w:rsid w:val="DEA6A83D"/>
    <w:rsid w:val="DEFFADCB"/>
    <w:rsid w:val="DFBFFC11"/>
    <w:rsid w:val="DFF7EFC2"/>
    <w:rsid w:val="E7FD01DC"/>
    <w:rsid w:val="ECBBFFE0"/>
    <w:rsid w:val="EDC54772"/>
    <w:rsid w:val="EEEA3C40"/>
    <w:rsid w:val="F1FE21D8"/>
    <w:rsid w:val="F6F71786"/>
    <w:rsid w:val="F7EB8E57"/>
    <w:rsid w:val="FB9FB576"/>
    <w:rsid w:val="FBBB5EFE"/>
    <w:rsid w:val="FBF488AB"/>
    <w:rsid w:val="FD7CC992"/>
    <w:rsid w:val="FDEF8E10"/>
    <w:rsid w:val="FDFFB607"/>
    <w:rsid w:val="FF5F4FB7"/>
    <w:rsid w:val="FF7B06FF"/>
    <w:rsid w:val="FFB2B331"/>
    <w:rsid w:val="FFF66989"/>
    <w:rsid w:val="FFF7D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640" w:firstLineChars="20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keepNext/>
      <w:keepLines/>
      <w:spacing w:line="360" w:lineRule="auto"/>
      <w:ind w:firstLine="0" w:firstLineChars="0"/>
      <w:outlineLvl w:val="0"/>
    </w:pPr>
    <w:rPr>
      <w:rFonts w:eastAsia="Songti SC"/>
      <w:b/>
      <w:kern w:val="44"/>
    </w:rPr>
  </w:style>
  <w:style w:type="paragraph" w:styleId="3">
    <w:name w:val="heading 2"/>
    <w:basedOn w:val="1"/>
    <w:next w:val="1"/>
    <w:unhideWhenUsed/>
    <w:qFormat/>
    <w:uiPriority w:val="0"/>
    <w:pPr>
      <w:keepNext/>
      <w:keepLines/>
      <w:spacing w:line="360" w:lineRule="auto"/>
      <w:ind w:firstLine="641"/>
      <w:outlineLvl w:val="1"/>
    </w:pPr>
    <w:rPr>
      <w:rFonts w:ascii="DejaVu Sans" w:hAnsi="DejaVu Sans" w:eastAsia="Songti SC"/>
      <w:b/>
      <w:sz w:val="28"/>
    </w:rPr>
  </w:style>
  <w:style w:type="paragraph" w:styleId="4">
    <w:name w:val="heading 3"/>
    <w:basedOn w:val="1"/>
    <w:next w:val="1"/>
    <w:unhideWhenUsed/>
    <w:qFormat/>
    <w:uiPriority w:val="0"/>
    <w:pPr>
      <w:keepNext/>
      <w:keepLines/>
      <w:spacing w:line="360" w:lineRule="auto"/>
      <w:ind w:firstLine="641"/>
      <w:outlineLvl w:val="2"/>
    </w:pPr>
    <w:rPr>
      <w:b/>
      <w:bCs/>
      <w:szCs w:val="3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1"/>
    <w:qFormat/>
    <w:uiPriority w:val="0"/>
    <w:pPr>
      <w:ind w:firstLine="420"/>
    </w:pPr>
  </w:style>
  <w:style w:type="paragraph" w:styleId="6">
    <w:name w:val="annotation text"/>
    <w:basedOn w:val="1"/>
    <w:qFormat/>
    <w:uiPriority w:val="0"/>
  </w:style>
  <w:style w:type="paragraph" w:styleId="7">
    <w:name w:val="Body Text"/>
    <w:basedOn w:val="1"/>
    <w:qFormat/>
    <w:uiPriority w:val="0"/>
    <w:rPr>
      <w:rFonts w:ascii="宋体" w:hAnsi="宋体" w:eastAsia="宋体" w:cs="宋体"/>
      <w:szCs w:val="32"/>
    </w:rPr>
  </w:style>
  <w:style w:type="paragraph" w:styleId="8">
    <w:name w:val="Body Text Indent"/>
    <w:basedOn w:val="1"/>
    <w:qFormat/>
    <w:uiPriority w:val="0"/>
    <w:pPr>
      <w:spacing w:after="120"/>
      <w:ind w:left="420" w:leftChars="200"/>
    </w:pPr>
  </w:style>
  <w:style w:type="paragraph" w:styleId="9">
    <w:name w:val="toc 3"/>
    <w:basedOn w:val="1"/>
    <w:next w:val="1"/>
    <w:qFormat/>
    <w:uiPriority w:val="0"/>
    <w:pPr>
      <w:ind w:left="840" w:leftChars="400"/>
    </w:pPr>
  </w:style>
  <w:style w:type="paragraph" w:styleId="10">
    <w:name w:val="Body Text Indent 2"/>
    <w:basedOn w:val="1"/>
    <w:unhideWhenUsed/>
    <w:qFormat/>
    <w:uiPriority w:val="99"/>
    <w:pPr>
      <w:spacing w:after="120" w:line="480" w:lineRule="auto"/>
      <w:ind w:left="420" w:leftChars="200"/>
    </w:pPr>
  </w:style>
  <w:style w:type="paragraph" w:styleId="11">
    <w:name w:val="footer"/>
    <w:basedOn w:val="1"/>
    <w:link w:val="42"/>
    <w:qFormat/>
    <w:uiPriority w:val="99"/>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rFonts w:ascii="DejaVu Sans" w:hAnsi="DejaVu Sans"/>
      <w:sz w:val="18"/>
    </w:rPr>
  </w:style>
  <w:style w:type="paragraph" w:styleId="13">
    <w:name w:val="toc 1"/>
    <w:basedOn w:val="1"/>
    <w:next w:val="1"/>
    <w:qFormat/>
    <w:uiPriority w:val="0"/>
  </w:style>
  <w:style w:type="paragraph" w:styleId="14">
    <w:name w:val="toc 2"/>
    <w:basedOn w:val="1"/>
    <w:next w:val="1"/>
    <w:qFormat/>
    <w:uiPriority w:val="0"/>
    <w:pPr>
      <w:ind w:left="420" w:leftChars="200"/>
    </w:pPr>
  </w:style>
  <w:style w:type="paragraph" w:styleId="15">
    <w:name w:val="Normal (Web)"/>
    <w:basedOn w:val="1"/>
    <w:unhideWhenUsed/>
    <w:qFormat/>
    <w:uiPriority w:val="99"/>
    <w:pPr>
      <w:widowControl/>
      <w:spacing w:before="100" w:beforeAutospacing="1" w:after="100" w:afterAutospacing="1" w:line="240" w:lineRule="auto"/>
      <w:ind w:firstLine="0" w:firstLineChars="0"/>
      <w:jc w:val="left"/>
    </w:pPr>
    <w:rPr>
      <w:rFonts w:ascii="宋体" w:hAnsi="宋体" w:eastAsia="宋体" w:cs="宋体"/>
      <w:kern w:val="0"/>
      <w:sz w:val="24"/>
    </w:rPr>
  </w:style>
  <w:style w:type="paragraph" w:styleId="16">
    <w:name w:val="Body Text First Indent 2"/>
    <w:basedOn w:val="8"/>
    <w:qFormat/>
    <w:uiPriority w:val="0"/>
    <w:pPr>
      <w:ind w:firstLine="420"/>
    </w:pPr>
  </w:style>
  <w:style w:type="character" w:styleId="19">
    <w:name w:val="annotation reference"/>
    <w:qFormat/>
    <w:uiPriority w:val="0"/>
    <w:rPr>
      <w:sz w:val="21"/>
      <w:szCs w:val="21"/>
    </w:rPr>
  </w:style>
  <w:style w:type="paragraph" w:customStyle="1" w:styleId="20">
    <w:name w:val="表格字体"/>
    <w:basedOn w:val="1"/>
    <w:qFormat/>
    <w:uiPriority w:val="0"/>
    <w:pPr>
      <w:spacing w:line="240" w:lineRule="auto"/>
      <w:ind w:firstLine="0" w:firstLineChars="0"/>
      <w:jc w:val="left"/>
    </w:pPr>
    <w:rPr>
      <w:rFonts w:eastAsia="宋体"/>
      <w:sz w:val="24"/>
      <w:szCs w:val="21"/>
    </w:rPr>
  </w:style>
  <w:style w:type="paragraph" w:customStyle="1" w:styleId="21">
    <w:name w:val="一级标题"/>
    <w:basedOn w:val="7"/>
    <w:qFormat/>
    <w:uiPriority w:val="0"/>
  </w:style>
  <w:style w:type="paragraph" w:customStyle="1" w:styleId="22">
    <w:name w:val="闻政正文"/>
    <w:basedOn w:val="1"/>
    <w:qFormat/>
    <w:uiPriority w:val="0"/>
    <w:pPr>
      <w:spacing w:line="500" w:lineRule="exact"/>
      <w:ind w:firstLine="560"/>
    </w:pPr>
    <w:rPr>
      <w:kern w:val="0"/>
      <w:sz w:val="28"/>
      <w:szCs w:val="28"/>
    </w:rPr>
  </w:style>
  <w:style w:type="paragraph" w:customStyle="1" w:styleId="23">
    <w:name w:val="闻政标题5"/>
    <w:basedOn w:val="1"/>
    <w:qFormat/>
    <w:uiPriority w:val="0"/>
    <w:pPr>
      <w:spacing w:before="120" w:after="60" w:line="500" w:lineRule="exact"/>
      <w:ind w:firstLine="200"/>
    </w:pPr>
    <w:rPr>
      <w:b/>
      <w:kern w:val="0"/>
      <w:sz w:val="28"/>
      <w:szCs w:val="28"/>
    </w:rPr>
  </w:style>
  <w:style w:type="paragraph" w:customStyle="1" w:styleId="24">
    <w:name w:val="闻政表"/>
    <w:basedOn w:val="1"/>
    <w:qFormat/>
    <w:uiPriority w:val="0"/>
    <w:pPr>
      <w:spacing w:before="60" w:after="60"/>
      <w:jc w:val="center"/>
    </w:pPr>
    <w:rPr>
      <w:b/>
      <w:kern w:val="0"/>
      <w:sz w:val="24"/>
      <w:szCs w:val="28"/>
    </w:rPr>
  </w:style>
  <w:style w:type="character" w:customStyle="1" w:styleId="25">
    <w:name w:val="font01"/>
    <w:basedOn w:val="18"/>
    <w:qFormat/>
    <w:uiPriority w:val="0"/>
    <w:rPr>
      <w:rFonts w:hint="default" w:ascii="MingLiU" w:hAnsi="MingLiU" w:eastAsia="MingLiU" w:cs="MingLiU"/>
      <w:color w:val="000000"/>
      <w:sz w:val="18"/>
      <w:szCs w:val="18"/>
      <w:u w:val="none"/>
    </w:rPr>
  </w:style>
  <w:style w:type="paragraph" w:customStyle="1" w:styleId="26">
    <w:name w:val="WA_标题4"/>
    <w:basedOn w:val="27"/>
    <w:next w:val="1"/>
    <w:qFormat/>
    <w:uiPriority w:val="0"/>
    <w:pPr>
      <w:numPr>
        <w:ilvl w:val="3"/>
      </w:numPr>
      <w:outlineLvl w:val="3"/>
    </w:pPr>
    <w:rPr>
      <w:sz w:val="24"/>
    </w:rPr>
  </w:style>
  <w:style w:type="paragraph" w:customStyle="1" w:styleId="27">
    <w:name w:val="WA_标题3"/>
    <w:basedOn w:val="28"/>
    <w:next w:val="1"/>
    <w:qFormat/>
    <w:uiPriority w:val="0"/>
    <w:pPr>
      <w:numPr>
        <w:ilvl w:val="2"/>
      </w:numPr>
      <w:outlineLvl w:val="2"/>
    </w:pPr>
    <w:rPr>
      <w:sz w:val="28"/>
    </w:rPr>
  </w:style>
  <w:style w:type="paragraph" w:customStyle="1" w:styleId="28">
    <w:name w:val="WA_标题2"/>
    <w:basedOn w:val="29"/>
    <w:next w:val="1"/>
    <w:qFormat/>
    <w:uiPriority w:val="0"/>
    <w:pPr>
      <w:numPr>
        <w:ilvl w:val="1"/>
      </w:numPr>
      <w:outlineLvl w:val="1"/>
    </w:pPr>
    <w:rPr>
      <w:sz w:val="32"/>
    </w:rPr>
  </w:style>
  <w:style w:type="paragraph" w:customStyle="1" w:styleId="29">
    <w:name w:val="WA_标题1"/>
    <w:basedOn w:val="2"/>
    <w:next w:val="1"/>
    <w:qFormat/>
    <w:uiPriority w:val="0"/>
    <w:pPr>
      <w:numPr>
        <w:ilvl w:val="0"/>
        <w:numId w:val="1"/>
      </w:numPr>
      <w:spacing w:before="120" w:after="120"/>
    </w:pPr>
    <w:rPr>
      <w:sz w:val="36"/>
    </w:rPr>
  </w:style>
  <w:style w:type="character" w:customStyle="1" w:styleId="30">
    <w:name w:val="font112"/>
    <w:basedOn w:val="18"/>
    <w:qFormat/>
    <w:uiPriority w:val="0"/>
    <w:rPr>
      <w:rFonts w:hint="default" w:ascii="MingLiU" w:hAnsi="MingLiU" w:eastAsia="MingLiU" w:cs="MingLiU"/>
      <w:b/>
      <w:color w:val="000000"/>
      <w:sz w:val="18"/>
      <w:szCs w:val="18"/>
      <w:u w:val="none"/>
    </w:rPr>
  </w:style>
  <w:style w:type="character" w:customStyle="1" w:styleId="31">
    <w:name w:val="font71"/>
    <w:basedOn w:val="18"/>
    <w:qFormat/>
    <w:uiPriority w:val="0"/>
    <w:rPr>
      <w:rFonts w:hint="default" w:ascii="MingLiU" w:hAnsi="MingLiU" w:eastAsia="MingLiU" w:cs="MingLiU"/>
      <w:color w:val="000000"/>
      <w:sz w:val="18"/>
      <w:szCs w:val="18"/>
      <w:u w:val="none"/>
    </w:rPr>
  </w:style>
  <w:style w:type="character" w:customStyle="1" w:styleId="32">
    <w:name w:val="font81"/>
    <w:basedOn w:val="18"/>
    <w:qFormat/>
    <w:uiPriority w:val="0"/>
    <w:rPr>
      <w:rFonts w:hint="eastAsia" w:ascii="方正书宋_GBK" w:hAnsi="方正书宋_GBK" w:eastAsia="方正书宋_GBK" w:cs="方正书宋_GBK"/>
      <w:color w:val="002060"/>
      <w:sz w:val="20"/>
      <w:szCs w:val="20"/>
      <w:u w:val="none"/>
    </w:rPr>
  </w:style>
  <w:style w:type="character" w:customStyle="1" w:styleId="33">
    <w:name w:val="font101"/>
    <w:basedOn w:val="18"/>
    <w:qFormat/>
    <w:uiPriority w:val="0"/>
    <w:rPr>
      <w:rFonts w:ascii="Arial" w:hAnsi="Arial" w:cs="Arial"/>
      <w:color w:val="002060"/>
      <w:sz w:val="20"/>
      <w:szCs w:val="20"/>
      <w:u w:val="none"/>
    </w:rPr>
  </w:style>
  <w:style w:type="character" w:customStyle="1" w:styleId="34">
    <w:name w:val="font11"/>
    <w:basedOn w:val="18"/>
    <w:qFormat/>
    <w:uiPriority w:val="0"/>
    <w:rPr>
      <w:rFonts w:ascii="Courier New" w:hAnsi="Courier New" w:cs="Courier New"/>
      <w:color w:val="000000"/>
      <w:sz w:val="18"/>
      <w:szCs w:val="18"/>
      <w:u w:val="none"/>
    </w:rPr>
  </w:style>
  <w:style w:type="character" w:customStyle="1" w:styleId="35">
    <w:name w:val="font31"/>
    <w:basedOn w:val="18"/>
    <w:qFormat/>
    <w:uiPriority w:val="0"/>
    <w:rPr>
      <w:rFonts w:ascii="宋体" w:hAnsi="宋体" w:eastAsia="宋体" w:cs="宋体"/>
      <w:color w:val="000000"/>
      <w:sz w:val="18"/>
      <w:szCs w:val="18"/>
      <w:u w:val="none"/>
    </w:rPr>
  </w:style>
  <w:style w:type="character" w:customStyle="1" w:styleId="36">
    <w:name w:val="bjh-p"/>
    <w:basedOn w:val="18"/>
    <w:qFormat/>
    <w:uiPriority w:val="0"/>
  </w:style>
  <w:style w:type="character" w:customStyle="1" w:styleId="37">
    <w:name w:val="font41"/>
    <w:basedOn w:val="18"/>
    <w:qFormat/>
    <w:uiPriority w:val="0"/>
    <w:rPr>
      <w:rFonts w:hint="eastAsia" w:ascii="仿宋_GB2312" w:eastAsia="仿宋_GB2312" w:cs="仿宋_GB2312"/>
      <w:color w:val="000000"/>
      <w:sz w:val="22"/>
      <w:szCs w:val="22"/>
      <w:u w:val="none"/>
    </w:rPr>
  </w:style>
  <w:style w:type="character" w:customStyle="1" w:styleId="38">
    <w:name w:val="font61"/>
    <w:basedOn w:val="18"/>
    <w:qFormat/>
    <w:uiPriority w:val="0"/>
    <w:rPr>
      <w:rFonts w:hint="default" w:ascii="Times New Roman" w:hAnsi="Times New Roman" w:cs="Times New Roman"/>
      <w:color w:val="000000"/>
      <w:sz w:val="22"/>
      <w:szCs w:val="22"/>
      <w:u w:val="none"/>
    </w:rPr>
  </w:style>
  <w:style w:type="character" w:customStyle="1" w:styleId="39">
    <w:name w:val="font51"/>
    <w:basedOn w:val="18"/>
    <w:qFormat/>
    <w:uiPriority w:val="0"/>
    <w:rPr>
      <w:rFonts w:hint="eastAsia" w:ascii="宋体" w:hAnsi="宋体" w:eastAsia="宋体" w:cs="宋体"/>
      <w:b/>
      <w:bCs/>
      <w:color w:val="000000"/>
      <w:sz w:val="20"/>
      <w:szCs w:val="20"/>
      <w:u w:val="none"/>
    </w:rPr>
  </w:style>
  <w:style w:type="table" w:customStyle="1" w:styleId="40">
    <w:name w:val="Table Normal"/>
    <w:semiHidden/>
    <w:unhideWhenUsed/>
    <w:qFormat/>
    <w:uiPriority w:val="0"/>
    <w:tblPr>
      <w:tblCellMar>
        <w:top w:w="0" w:type="dxa"/>
        <w:left w:w="0" w:type="dxa"/>
        <w:bottom w:w="0" w:type="dxa"/>
        <w:right w:w="0" w:type="dxa"/>
      </w:tblCellMar>
    </w:tblPr>
  </w:style>
  <w:style w:type="character" w:customStyle="1" w:styleId="41">
    <w:name w:val="font21"/>
    <w:basedOn w:val="18"/>
    <w:qFormat/>
    <w:uiPriority w:val="0"/>
    <w:rPr>
      <w:rFonts w:hint="eastAsia" w:ascii="宋体" w:hAnsi="宋体" w:eastAsia="宋体" w:cs="宋体"/>
      <w:color w:val="000000"/>
      <w:sz w:val="24"/>
      <w:szCs w:val="24"/>
      <w:u w:val="none"/>
    </w:rPr>
  </w:style>
  <w:style w:type="character" w:customStyle="1" w:styleId="42">
    <w:name w:val="页脚 字符"/>
    <w:basedOn w:val="18"/>
    <w:link w:val="11"/>
    <w:qFormat/>
    <w:uiPriority w:val="99"/>
    <w:rPr>
      <w:rFonts w:eastAsia="仿宋_GB2312"/>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41</Pages>
  <Words>2767</Words>
  <Characters>15776</Characters>
  <Lines>131</Lines>
  <Paragraphs>37</Paragraphs>
  <TotalTime>109</TotalTime>
  <ScaleCrop>false</ScaleCrop>
  <LinksUpToDate>false</LinksUpToDate>
  <CharactersWithSpaces>18506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2021-06-24T09:04:00Z</dcterms:created>
  <dc:creator>Administrator</dc:creator>
  <cp:lastModifiedBy>占月</cp:lastModifiedBy>
  <dcterms:modified xsi:type="dcterms:W3CDTF">2025-05-28T14:48:34Z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5E0397AAA695475386783A9B62D3678B_13</vt:lpwstr>
  </property>
</Properties>
</file>