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left"/>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rPr>
        <w:t>附件2</w:t>
      </w:r>
    </w:p>
    <w:p>
      <w:pPr>
        <w:spacing w:line="578" w:lineRule="exact"/>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eastAsia="zh-CN"/>
        </w:rPr>
        <w:t>海南省纪委监委</w:t>
      </w:r>
    </w:p>
    <w:p>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2024年度部门决算公开报告</w:t>
      </w:r>
    </w:p>
    <w:p>
      <w:pPr>
        <w:spacing w:line="578" w:lineRule="exact"/>
        <w:jc w:val="center"/>
        <w:rPr>
          <w:rFonts w:hint="eastAsia" w:ascii="黑体" w:hAnsi="ˎ̥" w:eastAsia="黑体"/>
          <w:b/>
          <w:sz w:val="32"/>
          <w:szCs w:val="32"/>
        </w:rPr>
      </w:pPr>
    </w:p>
    <w:p>
      <w:pPr>
        <w:spacing w:line="578" w:lineRule="exact"/>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15"/>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第一部分 基本情况</w:t>
      </w:r>
      <w:r>
        <w:rPr>
          <w:sz w:val="32"/>
          <w:szCs w:val="32"/>
        </w:rPr>
        <w:tab/>
      </w:r>
      <w:r>
        <w:rPr>
          <w:sz w:val="32"/>
          <w:szCs w:val="32"/>
        </w:rPr>
        <w:fldChar w:fldCharType="end"/>
      </w:r>
      <w:r>
        <w:rPr>
          <w:rFonts w:hint="eastAsia"/>
          <w:sz w:val="32"/>
          <w:szCs w:val="32"/>
        </w:rPr>
        <w:t>2</w:t>
      </w:r>
    </w:p>
    <w:p>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5"/>
        <w:tabs>
          <w:tab w:val="right" w:leader="dot" w:pos="8306"/>
        </w:tabs>
        <w:spacing w:line="578" w:lineRule="exact"/>
        <w:rPr>
          <w:rFonts w:hint="default"/>
          <w:sz w:val="32"/>
          <w:szCs w:val="32"/>
          <w:lang w:val="en"/>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年度部门决算公开表</w:t>
      </w:r>
      <w:r>
        <w:rPr>
          <w:sz w:val="32"/>
          <w:szCs w:val="32"/>
        </w:rPr>
        <w:tab/>
      </w:r>
      <w:r>
        <w:rPr>
          <w:sz w:val="32"/>
          <w:szCs w:val="32"/>
        </w:rPr>
        <w:fldChar w:fldCharType="end"/>
      </w:r>
      <w:r>
        <w:rPr>
          <w:rFonts w:hint="default"/>
          <w:sz w:val="32"/>
          <w:szCs w:val="32"/>
          <w:lang w:val="en"/>
        </w:rPr>
        <w:t>3</w:t>
      </w:r>
    </w:p>
    <w:p>
      <w:pPr>
        <w:pStyle w:val="15"/>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default" w:ascii="黑体" w:hAnsi="ˎ̥" w:eastAsia="黑体"/>
          <w:sz w:val="32"/>
          <w:szCs w:val="32"/>
          <w:lang w:val="en-US"/>
        </w:rPr>
        <w:t>2024</w:t>
      </w:r>
      <w:r>
        <w:rPr>
          <w:rFonts w:hint="eastAsia" w:ascii="黑体" w:hAnsi="ˎ̥" w:eastAsia="黑体"/>
          <w:sz w:val="32"/>
          <w:szCs w:val="32"/>
        </w:rPr>
        <w:t>年度部门决算情况说明</w:t>
      </w:r>
      <w:r>
        <w:rPr>
          <w:sz w:val="32"/>
          <w:szCs w:val="32"/>
        </w:rPr>
        <w:tab/>
      </w:r>
      <w:r>
        <w:rPr>
          <w:sz w:val="32"/>
          <w:szCs w:val="32"/>
        </w:rPr>
        <w:fldChar w:fldCharType="end"/>
      </w:r>
      <w:r>
        <w:rPr>
          <w:rFonts w:hint="eastAsia"/>
          <w:sz w:val="32"/>
          <w:szCs w:val="32"/>
        </w:rPr>
        <w:t>3</w:t>
      </w:r>
    </w:p>
    <w:p>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3</w:t>
      </w:r>
    </w:p>
    <w:p>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w:t>
      </w:r>
      <w:r>
        <w:rPr>
          <w:rFonts w:hint="eastAsia" w:ascii="仿宋" w:hAnsi="仿宋" w:eastAsia="仿宋" w:cs="仿宋"/>
          <w:bCs/>
          <w:sz w:val="32"/>
          <w:szCs w:val="32"/>
          <w:lang w:val="en-US" w:eastAsia="zh-CN"/>
        </w:rPr>
        <w:t>总体</w:t>
      </w:r>
      <w:r>
        <w:rPr>
          <w:rFonts w:hint="eastAsia" w:ascii="仿宋" w:hAnsi="仿宋" w:eastAsia="仿宋" w:cs="仿宋"/>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5</w:t>
      </w:r>
    </w:p>
    <w:p>
      <w:pPr>
        <w:pStyle w:val="16"/>
        <w:tabs>
          <w:tab w:val="right" w:leader="dot" w:pos="8306"/>
        </w:tabs>
        <w:spacing w:line="578" w:lineRule="exact"/>
        <w:ind w:leftChars="0"/>
        <w:rPr>
          <w:rFonts w:hint="default" w:ascii="仿宋" w:hAnsi="仿宋" w:eastAsia="仿宋" w:cs="仿宋"/>
          <w:sz w:val="32"/>
          <w:szCs w:val="32"/>
          <w:lang w:val="e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default" w:ascii="仿宋" w:hAnsi="仿宋" w:eastAsia="仿宋" w:cs="仿宋"/>
          <w:sz w:val="32"/>
          <w:szCs w:val="32"/>
          <w:lang w:val="en"/>
        </w:rPr>
        <w:t>8</w:t>
      </w:r>
    </w:p>
    <w:p>
      <w:pPr>
        <w:pStyle w:val="16"/>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default" w:ascii="仿宋" w:hAnsi="仿宋" w:eastAsia="仿宋" w:cs="仿宋"/>
          <w:sz w:val="32"/>
          <w:szCs w:val="32"/>
          <w:lang w:val="en"/>
        </w:rPr>
        <w:t>8</w:t>
      </w:r>
    </w:p>
    <w:p>
      <w:pPr>
        <w:pStyle w:val="16"/>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8</w:t>
      </w:r>
    </w:p>
    <w:p>
      <w:pPr>
        <w:pStyle w:val="16"/>
        <w:tabs>
          <w:tab w:val="right" w:leader="dot" w:pos="8306"/>
        </w:tabs>
        <w:spacing w:line="578" w:lineRule="exact"/>
        <w:ind w:leftChars="0"/>
        <w:rPr>
          <w:rFonts w:hint="default" w:ascii="仿宋" w:hAnsi="仿宋" w:eastAsia="仿宋" w:cs="仿宋"/>
          <w:sz w:val="32"/>
          <w:szCs w:val="32"/>
          <w:lang w:val="e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default" w:ascii="仿宋" w:hAnsi="仿宋" w:eastAsia="仿宋" w:cs="仿宋"/>
          <w:sz w:val="32"/>
          <w:szCs w:val="32"/>
          <w:lang w:val="en"/>
        </w:rPr>
        <w:t>8</w:t>
      </w:r>
    </w:p>
    <w:p>
      <w:pPr>
        <w:pStyle w:val="16"/>
        <w:tabs>
          <w:tab w:val="right" w:leader="dot" w:pos="8306"/>
        </w:tabs>
        <w:spacing w:line="578" w:lineRule="exact"/>
        <w:ind w:leftChars="0"/>
        <w:rPr>
          <w:rFonts w:hint="default" w:ascii="仿宋" w:hAnsi="仿宋" w:eastAsia="仿宋" w:cs="仿宋"/>
          <w:sz w:val="32"/>
          <w:szCs w:val="32"/>
          <w:lang w:val="e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default" w:ascii="仿宋" w:hAnsi="仿宋" w:eastAsia="仿宋" w:cs="仿宋"/>
          <w:sz w:val="32"/>
          <w:szCs w:val="32"/>
          <w:lang w:val="en"/>
        </w:rPr>
        <w:t>9</w:t>
      </w:r>
    </w:p>
    <w:p>
      <w:pPr>
        <w:pStyle w:val="16"/>
        <w:tabs>
          <w:tab w:val="right" w:leader="dot" w:pos="8306"/>
        </w:tabs>
        <w:spacing w:line="578" w:lineRule="exact"/>
        <w:ind w:leftChars="0"/>
        <w:rPr>
          <w:rFonts w:hint="default" w:ascii="仿宋" w:hAnsi="仿宋" w:eastAsia="仿宋" w:cs="仿宋"/>
          <w:sz w:val="32"/>
          <w:szCs w:val="32"/>
          <w:lang w:val="en"/>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default" w:ascii="仿宋" w:hAnsi="仿宋" w:eastAsia="仿宋" w:cs="仿宋"/>
          <w:sz w:val="32"/>
          <w:szCs w:val="32"/>
          <w:lang w:val="en"/>
        </w:rPr>
        <w:t>10</w:t>
      </w:r>
    </w:p>
    <w:p>
      <w:pPr>
        <w:pStyle w:val="15"/>
        <w:tabs>
          <w:tab w:val="right" w:leader="dot" w:pos="8306"/>
        </w:tabs>
        <w:spacing w:line="578" w:lineRule="exact"/>
        <w:rPr>
          <w:rFonts w:hint="default" w:ascii="黑体" w:hAnsi="ˎ̥"/>
          <w:b/>
          <w:sz w:val="32"/>
          <w:szCs w:val="32"/>
          <w:lang w:val="en"/>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1"/>
      <w:r>
        <w:rPr>
          <w:sz w:val="32"/>
          <w:szCs w:val="32"/>
        </w:rPr>
        <w:fldChar w:fldCharType="end"/>
      </w:r>
      <w:bookmarkEnd w:id="0"/>
      <w:r>
        <w:rPr>
          <w:rFonts w:hint="default"/>
          <w:sz w:val="32"/>
          <w:szCs w:val="32"/>
          <w:lang w:val="en"/>
        </w:rPr>
        <w:t>1</w:t>
      </w:r>
    </w:p>
    <w:p>
      <w:pPr>
        <w:spacing w:line="578" w:lineRule="exact"/>
        <w:jc w:val="both"/>
        <w:rPr>
          <w:rFonts w:hint="eastAsia" w:ascii="黑体" w:hAnsi="ˎ̥" w:eastAsia="黑体"/>
          <w:sz w:val="32"/>
          <w:szCs w:val="32"/>
        </w:rPr>
      </w:pPr>
      <w:bookmarkStart w:id="2" w:name="_Toc10720_WPSOffice_Level1"/>
      <w:bookmarkStart w:id="3" w:name="_Toc10049_WPSOffice_Level1"/>
      <w:bookmarkStart w:id="4" w:name="_Toc1704_WPSOffice_Level1"/>
      <w:bookmarkStart w:id="5" w:name="_Toc23465_WPSOffice_Level1"/>
      <w:bookmarkStart w:id="6" w:name="_Toc32433_WPSOffice_Level1"/>
      <w:bookmarkStart w:id="7" w:name="_Toc22941_WPSOffice_Level1"/>
      <w:bookmarkStart w:id="8" w:name="_Toc24238_WPSOffice_Level2"/>
      <w:bookmarkStart w:id="9" w:name="_Toc14159_WPSOffice_Level2"/>
      <w:bookmarkStart w:id="10" w:name="_Toc20274_WPSOffice_Level2"/>
      <w:bookmarkStart w:id="11" w:name="_Toc26580_WPSOffice_Level2"/>
      <w:bookmarkStart w:id="12" w:name="_Toc32622_WPSOffice_Level2"/>
      <w:bookmarkStart w:id="13" w:name="_Toc20205_WPSOffice_Level2"/>
    </w:p>
    <w:p>
      <w:pPr>
        <w:spacing w:line="578" w:lineRule="exact"/>
        <w:jc w:val="center"/>
        <w:rPr>
          <w:rFonts w:hint="eastAsia" w:ascii="黑体" w:hAnsi="ˎ̥" w:eastAsia="黑体"/>
          <w:sz w:val="32"/>
          <w:szCs w:val="32"/>
        </w:rPr>
      </w:pPr>
      <w:r>
        <w:rPr>
          <w:rFonts w:hint="eastAsia" w:ascii="黑体" w:hAnsi="ˎ̥" w:eastAsia="黑体"/>
          <w:sz w:val="32"/>
          <w:szCs w:val="32"/>
        </w:rPr>
        <w:t xml:space="preserve">第一部分  </w:t>
      </w:r>
      <w:bookmarkEnd w:id="2"/>
      <w:bookmarkEnd w:id="3"/>
      <w:bookmarkEnd w:id="4"/>
      <w:bookmarkEnd w:id="5"/>
      <w:bookmarkEnd w:id="6"/>
      <w:bookmarkEnd w:id="7"/>
      <w:r>
        <w:rPr>
          <w:rFonts w:hint="eastAsia" w:ascii="黑体" w:hAnsi="ˎ̥" w:eastAsia="黑体"/>
          <w:sz w:val="32"/>
          <w:szCs w:val="32"/>
        </w:rPr>
        <w:t>基本情况</w:t>
      </w:r>
    </w:p>
    <w:p>
      <w:pPr>
        <w:spacing w:line="578" w:lineRule="exact"/>
        <w:ind w:firstLine="640" w:firstLineChars="200"/>
        <w:rPr>
          <w:rFonts w:hint="eastAsia" w:ascii="楷体" w:hAnsi="楷体" w:eastAsia="楷体" w:cs="楷体"/>
          <w:sz w:val="32"/>
          <w:szCs w:val="32"/>
        </w:rPr>
      </w:pPr>
    </w:p>
    <w:p>
      <w:pPr>
        <w:numPr>
          <w:ilvl w:val="0"/>
          <w:numId w:val="2"/>
        </w:numPr>
        <w:spacing w:line="578"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部门</w:t>
      </w:r>
      <w:bookmarkEnd w:id="8"/>
      <w:r>
        <w:rPr>
          <w:rFonts w:hint="eastAsia" w:ascii="黑体" w:hAnsi="黑体" w:eastAsia="黑体" w:cs="黑体"/>
          <w:sz w:val="32"/>
          <w:szCs w:val="32"/>
        </w:rPr>
        <w:t>职责</w:t>
      </w:r>
      <w:bookmarkEnd w:id="9"/>
      <w:bookmarkEnd w:id="10"/>
      <w:bookmarkEnd w:id="11"/>
      <w:bookmarkEnd w:id="12"/>
      <w:bookmarkEnd w:id="13"/>
    </w:p>
    <w:p>
      <w:pPr>
        <w:ind w:firstLine="640" w:firstLineChars="200"/>
        <w:rPr>
          <w:rFonts w:ascii="仿宋_GB2312" w:hAnsi="??" w:eastAsia="仿宋_GB2312"/>
          <w:sz w:val="32"/>
        </w:rPr>
      </w:pPr>
      <w:r>
        <w:rPr>
          <w:rFonts w:hint="eastAsia" w:ascii="仿宋_GB2312" w:hAnsi="??" w:eastAsia="仿宋_GB2312"/>
          <w:sz w:val="32"/>
        </w:rPr>
        <w:t>（一）负责党的纪律检查工作；</w:t>
      </w:r>
    </w:p>
    <w:p>
      <w:pPr>
        <w:ind w:firstLine="640" w:firstLineChars="200"/>
        <w:rPr>
          <w:rFonts w:ascii="仿宋_GB2312" w:hAnsi="??" w:eastAsia="仿宋_GB2312"/>
          <w:sz w:val="32"/>
        </w:rPr>
      </w:pPr>
      <w:r>
        <w:rPr>
          <w:rFonts w:hint="eastAsia" w:ascii="仿宋_GB2312" w:hAnsi="??" w:eastAsia="仿宋_GB2312"/>
          <w:sz w:val="32"/>
        </w:rPr>
        <w:t>（二）依照党章和其他党内法规履行监督、执纪、问责职责；</w:t>
      </w:r>
    </w:p>
    <w:p>
      <w:pPr>
        <w:ind w:firstLine="640" w:firstLineChars="200"/>
        <w:rPr>
          <w:rFonts w:ascii="仿宋_GB2312" w:hAnsi="??" w:eastAsia="仿宋_GB2312"/>
          <w:sz w:val="32"/>
        </w:rPr>
      </w:pPr>
      <w:r>
        <w:rPr>
          <w:rFonts w:hint="eastAsia" w:ascii="仿宋_GB2312" w:hAnsi="??" w:eastAsia="仿宋_GB2312"/>
          <w:sz w:val="32"/>
        </w:rPr>
        <w:t>（三）负责全面监察工作；</w:t>
      </w:r>
    </w:p>
    <w:p>
      <w:pPr>
        <w:ind w:firstLine="640" w:firstLineChars="200"/>
        <w:rPr>
          <w:rFonts w:ascii="仿宋_GB2312" w:hAnsi="??" w:eastAsia="仿宋_GB2312"/>
          <w:sz w:val="32"/>
        </w:rPr>
      </w:pPr>
      <w:r>
        <w:rPr>
          <w:rFonts w:hint="eastAsia" w:ascii="仿宋_GB2312" w:hAnsi="??" w:eastAsia="仿宋_GB2312"/>
          <w:sz w:val="32"/>
        </w:rPr>
        <w:t>（四）依照法律规定履行监督、调查、处置职责；</w:t>
      </w:r>
    </w:p>
    <w:p>
      <w:pPr>
        <w:ind w:firstLine="640" w:firstLineChars="200"/>
        <w:rPr>
          <w:rFonts w:ascii="仿宋_GB2312" w:hAnsi="??" w:eastAsia="仿宋_GB2312"/>
          <w:sz w:val="32"/>
        </w:rPr>
      </w:pPr>
      <w:r>
        <w:rPr>
          <w:rFonts w:hint="eastAsia" w:ascii="仿宋_GB2312" w:hAnsi="??" w:eastAsia="仿宋_GB2312"/>
          <w:sz w:val="32"/>
        </w:rPr>
        <w:t>（五）负责组织协调全面从严治党、党风廉政建设和反腐败宣传教育工作；</w:t>
      </w:r>
    </w:p>
    <w:p>
      <w:pPr>
        <w:ind w:firstLine="640" w:firstLineChars="200"/>
        <w:rPr>
          <w:rFonts w:ascii="仿宋_GB2312" w:hAnsi="??" w:eastAsia="仿宋_GB2312"/>
          <w:sz w:val="32"/>
        </w:rPr>
      </w:pPr>
      <w:r>
        <w:rPr>
          <w:rFonts w:hint="eastAsia" w:ascii="仿宋_GB2312" w:hAnsi="??" w:eastAsia="仿宋_GB2312"/>
          <w:sz w:val="32"/>
        </w:rPr>
        <w:t>（六）负责制定或者修改纪检监察制度规定，参与起草制定相关党内法规、地方性法规和规范性文件；</w:t>
      </w:r>
    </w:p>
    <w:p>
      <w:pPr>
        <w:ind w:firstLine="640" w:firstLineChars="200"/>
        <w:rPr>
          <w:rFonts w:ascii="仿宋_GB2312" w:hAnsi="??" w:eastAsia="仿宋_GB2312"/>
          <w:sz w:val="32"/>
        </w:rPr>
      </w:pPr>
      <w:r>
        <w:rPr>
          <w:rFonts w:hint="eastAsia" w:ascii="仿宋_GB2312" w:hAnsi="??" w:eastAsia="仿宋_GB2312"/>
          <w:sz w:val="32"/>
        </w:rPr>
        <w:t>（七）贯彻落实党中央、中央</w:t>
      </w:r>
      <w:r>
        <w:rPr>
          <w:rFonts w:ascii="仿宋_GB2312" w:hAnsi="??" w:eastAsia="仿宋_GB2312"/>
          <w:sz w:val="32"/>
          <w:lang w:val="en"/>
        </w:rPr>
        <w:t>纪委</w:t>
      </w:r>
      <w:r>
        <w:rPr>
          <w:rFonts w:hint="eastAsia" w:ascii="仿宋_GB2312" w:hAnsi="??" w:eastAsia="仿宋_GB2312"/>
          <w:sz w:val="32"/>
        </w:rPr>
        <w:t>国家监委、省委关于加强反腐败国际追逃追赃和防逃的决策部署；</w:t>
      </w:r>
    </w:p>
    <w:p>
      <w:pPr>
        <w:ind w:firstLine="640" w:firstLineChars="200"/>
        <w:rPr>
          <w:rFonts w:hint="eastAsia" w:ascii="仿宋_GB2312" w:hAnsi="??" w:eastAsia="仿宋_GB2312"/>
          <w:sz w:val="32"/>
        </w:rPr>
      </w:pPr>
      <w:r>
        <w:rPr>
          <w:rFonts w:hint="eastAsia" w:ascii="仿宋_GB2312" w:hAnsi="??" w:eastAsia="仿宋_GB2312"/>
          <w:sz w:val="32"/>
        </w:rPr>
        <w:t>（八）根据干部管理权限，负责全省纪检监察系统领导班子建设、干部队伍建设和组织建设的综合规划、政策研究、制度建设和业务指导；</w:t>
      </w:r>
    </w:p>
    <w:p>
      <w:pPr>
        <w:ind w:firstLine="640" w:firstLineChars="200"/>
        <w:rPr>
          <w:rFonts w:hint="eastAsia" w:ascii="黑体" w:hAnsi="黑体" w:eastAsia="黑体" w:cs="黑体"/>
          <w:sz w:val="32"/>
          <w:szCs w:val="32"/>
        </w:rPr>
      </w:pPr>
      <w:r>
        <w:rPr>
          <w:rFonts w:hint="eastAsia" w:ascii="仿宋_GB2312" w:hAnsi="??" w:eastAsia="仿宋_GB2312"/>
          <w:sz w:val="32"/>
        </w:rPr>
        <w:t>（九）负责中央</w:t>
      </w:r>
      <w:r>
        <w:rPr>
          <w:rFonts w:ascii="仿宋_GB2312" w:hAnsi="??" w:eastAsia="仿宋_GB2312"/>
          <w:sz w:val="32"/>
          <w:lang w:val="en"/>
        </w:rPr>
        <w:t>纪委</w:t>
      </w:r>
      <w:r>
        <w:rPr>
          <w:rFonts w:hint="eastAsia" w:ascii="仿宋_GB2312" w:hAnsi="??" w:eastAsia="仿宋_GB2312"/>
          <w:sz w:val="32"/>
        </w:rPr>
        <w:t>国家监委和省委交办的其他任务。</w:t>
      </w:r>
    </w:p>
    <w:p>
      <w:pPr>
        <w:spacing w:line="578" w:lineRule="exact"/>
        <w:ind w:firstLine="640" w:firstLineChars="200"/>
        <w:rPr>
          <w:rFonts w:hint="eastAsia" w:ascii="黑体" w:hAnsi="黑体" w:eastAsia="黑体" w:cs="黑体"/>
          <w:sz w:val="32"/>
          <w:szCs w:val="32"/>
        </w:rPr>
      </w:pPr>
      <w:bookmarkStart w:id="14" w:name="_Toc24474_WPSOffice_Level2"/>
      <w:bookmarkStart w:id="15" w:name="_Toc4833_WPSOffice_Level2"/>
      <w:bookmarkStart w:id="16" w:name="_Toc6572_WPSOffice_Level2"/>
      <w:bookmarkStart w:id="17" w:name="_Toc17796_WPSOffice_Level2"/>
      <w:bookmarkStart w:id="18" w:name="_Toc24059_WPSOffice_Level2"/>
      <w:r>
        <w:rPr>
          <w:rFonts w:hint="eastAsia" w:ascii="黑体" w:hAnsi="黑体" w:eastAsia="黑体" w:cs="黑体"/>
          <w:sz w:val="32"/>
          <w:szCs w:val="32"/>
        </w:rPr>
        <w:t>二、机构设置</w:t>
      </w:r>
      <w:bookmarkEnd w:id="14"/>
      <w:bookmarkEnd w:id="15"/>
      <w:bookmarkEnd w:id="16"/>
      <w:bookmarkEnd w:id="17"/>
      <w:bookmarkEnd w:id="18"/>
    </w:p>
    <w:p>
      <w:pPr>
        <w:spacing w:line="578" w:lineRule="exact"/>
        <w:ind w:firstLine="640" w:firstLineChars="200"/>
        <w:rPr>
          <w:rFonts w:hint="eastAsia" w:ascii="仿宋_GB2312" w:hAnsi="ˎ̥" w:eastAsia="仿宋_GB2312"/>
          <w:sz w:val="32"/>
          <w:szCs w:val="32"/>
        </w:rPr>
      </w:pPr>
      <w:bookmarkStart w:id="19" w:name="_Toc30451_WPSOffice_Level1"/>
      <w:bookmarkStart w:id="20" w:name="_Toc8164_WPSOffice_Level1"/>
      <w:bookmarkStart w:id="21" w:name="_Toc15521_WPSOffice_Level1"/>
      <w:bookmarkStart w:id="22" w:name="_Toc28253_WPSOffice_Level1"/>
      <w:bookmarkStart w:id="23" w:name="_Toc6234_WPSOffice_Level1"/>
      <w:bookmarkStart w:id="24" w:name="_Toc30690_WPSOffice_Level1"/>
      <w:bookmarkStart w:id="25" w:name="_Toc32695_WPSOffice_Level2"/>
      <w:bookmarkStart w:id="26" w:name="_Toc8867_WPSOffice_Level2"/>
      <w:bookmarkStart w:id="27" w:name="_Toc4029_WPSOffice_Level2"/>
      <w:bookmarkStart w:id="28" w:name="_Toc32472_WPSOffice_Level2"/>
      <w:bookmarkStart w:id="29" w:name="_Toc6211_WPSOffice_Level2"/>
      <w:bookmarkStart w:id="30" w:name="_Toc11518_WPSOffice_Level2"/>
      <w:r>
        <w:rPr>
          <w:rFonts w:hint="eastAsia" w:ascii="仿宋_GB2312" w:hAnsi="ˎ̥" w:eastAsia="仿宋_GB2312"/>
          <w:sz w:val="32"/>
          <w:szCs w:val="32"/>
        </w:rPr>
        <w:t>纳入海南省纪委监委202</w:t>
      </w:r>
      <w:r>
        <w:rPr>
          <w:rFonts w:hint="default" w:ascii="仿宋_GB2312" w:hAnsi="ˎ̥" w:eastAsia="仿宋_GB2312"/>
          <w:sz w:val="32"/>
          <w:szCs w:val="32"/>
          <w:lang w:val="en"/>
        </w:rPr>
        <w:t>4</w:t>
      </w:r>
      <w:r>
        <w:rPr>
          <w:rFonts w:hint="eastAsia" w:ascii="仿宋_GB2312" w:hAnsi="ˎ̥" w:eastAsia="仿宋_GB2312"/>
          <w:sz w:val="32"/>
          <w:szCs w:val="32"/>
        </w:rPr>
        <w:t>年度部门决算编制范围的单位共4个，包括：</w:t>
      </w:r>
    </w:p>
    <w:p>
      <w:pPr>
        <w:spacing w:line="578" w:lineRule="exact"/>
        <w:ind w:firstLine="640" w:firstLineChars="200"/>
        <w:rPr>
          <w:rFonts w:hint="default" w:ascii="仿宋_GB2312" w:hAnsi="ˎ̥" w:eastAsia="仿宋_GB2312"/>
          <w:sz w:val="32"/>
          <w:szCs w:val="32"/>
          <w:lang w:val="en"/>
        </w:rPr>
      </w:pPr>
      <w:r>
        <w:rPr>
          <w:rFonts w:hint="eastAsia" w:ascii="仿宋_GB2312" w:hAnsi="ˎ̥" w:eastAsia="仿宋_GB2312"/>
          <w:sz w:val="32"/>
          <w:szCs w:val="32"/>
        </w:rPr>
        <w:t>（一）省纪委监委部门本级</w:t>
      </w:r>
      <w:r>
        <w:rPr>
          <w:rFonts w:hint="default" w:ascii="仿宋_GB2312" w:hAnsi="ˎ̥" w:eastAsia="仿宋_GB2312"/>
          <w:sz w:val="32"/>
          <w:szCs w:val="32"/>
          <w:lang w:val="en"/>
        </w:rPr>
        <w:t>;</w:t>
      </w:r>
    </w:p>
    <w:p>
      <w:pPr>
        <w:spacing w:line="578" w:lineRule="exact"/>
        <w:ind w:firstLine="640" w:firstLineChars="200"/>
        <w:rPr>
          <w:rFonts w:hint="default" w:ascii="仿宋_GB2312" w:hAnsi="ˎ̥" w:eastAsia="仿宋_GB2312"/>
          <w:sz w:val="32"/>
          <w:szCs w:val="32"/>
          <w:lang w:val="en"/>
        </w:rPr>
      </w:pPr>
      <w:r>
        <w:rPr>
          <w:rFonts w:hint="eastAsia" w:ascii="仿宋_GB2312" w:hAnsi="ˎ̥" w:eastAsia="仿宋_GB2312"/>
          <w:sz w:val="32"/>
          <w:szCs w:val="32"/>
        </w:rPr>
        <w:t>（二）省委巡视办</w:t>
      </w:r>
      <w:r>
        <w:rPr>
          <w:rFonts w:hint="default" w:ascii="仿宋_GB2312" w:hAnsi="ˎ̥" w:eastAsia="仿宋_GB2312"/>
          <w:sz w:val="32"/>
          <w:szCs w:val="32"/>
          <w:lang w:val="en"/>
        </w:rPr>
        <w:t>;</w:t>
      </w:r>
    </w:p>
    <w:p>
      <w:pPr>
        <w:spacing w:line="578" w:lineRule="exact"/>
        <w:ind w:firstLine="640" w:firstLineChars="200"/>
        <w:rPr>
          <w:rFonts w:hint="default" w:ascii="仿宋_GB2312" w:hAnsi="ˎ̥" w:eastAsia="仿宋_GB2312"/>
          <w:sz w:val="32"/>
          <w:szCs w:val="32"/>
          <w:lang w:val="en"/>
        </w:rPr>
      </w:pPr>
      <w:r>
        <w:rPr>
          <w:rFonts w:hint="eastAsia" w:ascii="仿宋_GB2312" w:hAnsi="ˎ̥" w:eastAsia="仿宋_GB2312"/>
          <w:sz w:val="32"/>
          <w:szCs w:val="32"/>
        </w:rPr>
        <w:t>（三）省留置中心</w:t>
      </w:r>
      <w:r>
        <w:rPr>
          <w:rFonts w:hint="default" w:ascii="仿宋_GB2312" w:hAnsi="ˎ̥" w:eastAsia="仿宋_GB2312"/>
          <w:sz w:val="32"/>
          <w:szCs w:val="32"/>
          <w:lang w:val="en"/>
        </w:rPr>
        <w:t>;</w:t>
      </w:r>
    </w:p>
    <w:p>
      <w:pPr>
        <w:spacing w:line="578" w:lineRule="exact"/>
        <w:ind w:firstLine="640" w:firstLineChars="200"/>
        <w:rPr>
          <w:rFonts w:hint="default" w:ascii="仿宋_GB2312" w:hAnsi="ˎ̥" w:eastAsia="仿宋_GB2312"/>
          <w:sz w:val="32"/>
          <w:szCs w:val="32"/>
          <w:lang w:val="en"/>
        </w:rPr>
      </w:pPr>
      <w:r>
        <w:rPr>
          <w:rFonts w:hint="eastAsia" w:ascii="仿宋_GB2312" w:hAnsi="ˎ̥" w:eastAsia="仿宋_GB2312"/>
          <w:sz w:val="32"/>
          <w:szCs w:val="32"/>
        </w:rPr>
        <w:t>（四）省纪委监委技术保障中心。</w:t>
      </w:r>
    </w:p>
    <w:p>
      <w:pPr>
        <w:spacing w:line="578" w:lineRule="exact"/>
        <w:jc w:val="center"/>
        <w:rPr>
          <w:rFonts w:hint="eastAsia" w:ascii="黑体" w:hAnsi="ˎ̥" w:eastAsia="黑体"/>
          <w:sz w:val="32"/>
          <w:szCs w:val="32"/>
        </w:rPr>
      </w:pPr>
    </w:p>
    <w:p>
      <w:pPr>
        <w:spacing w:line="578" w:lineRule="exact"/>
        <w:jc w:val="center"/>
        <w:rPr>
          <w:rFonts w:hint="eastAsia" w:ascii="黑体" w:hAnsi="ˎ̥" w:eastAsia="黑体"/>
          <w:sz w:val="32"/>
          <w:szCs w:val="32"/>
        </w:rPr>
      </w:pP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年度部门决算公开报表</w:t>
      </w:r>
      <w:bookmarkEnd w:id="19"/>
      <w:bookmarkEnd w:id="20"/>
      <w:bookmarkEnd w:id="21"/>
      <w:bookmarkEnd w:id="22"/>
      <w:bookmarkEnd w:id="23"/>
      <w:bookmarkEnd w:id="24"/>
    </w:p>
    <w:p>
      <w:pPr>
        <w:spacing w:line="578" w:lineRule="exact"/>
        <w:ind w:firstLine="645"/>
        <w:rPr>
          <w:rFonts w:hint="eastAsia" w:ascii="黑体" w:hAnsi="黑体" w:eastAsia="黑体" w:cs="黑体"/>
          <w:sz w:val="32"/>
          <w:szCs w:val="32"/>
        </w:rPr>
      </w:pPr>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一、收入支出决算公开表</w:t>
      </w:r>
      <w:bookmarkEnd w:id="25"/>
      <w:bookmarkEnd w:id="26"/>
      <w:bookmarkEnd w:id="27"/>
      <w:bookmarkEnd w:id="28"/>
      <w:bookmarkEnd w:id="29"/>
      <w:bookmarkEnd w:id="30"/>
    </w:p>
    <w:p>
      <w:pPr>
        <w:spacing w:line="578" w:lineRule="exact"/>
        <w:ind w:firstLine="645"/>
        <w:rPr>
          <w:rFonts w:hint="eastAsia" w:ascii="黑体" w:hAnsi="黑体" w:eastAsia="黑体" w:cs="黑体"/>
          <w:sz w:val="32"/>
          <w:szCs w:val="32"/>
        </w:rPr>
      </w:pPr>
      <w:bookmarkStart w:id="31" w:name="_Toc30334_WPSOffice_Level2"/>
      <w:bookmarkStart w:id="32" w:name="_Toc14349_WPSOffice_Level2"/>
      <w:bookmarkStart w:id="33" w:name="_Toc26621_WPSOffice_Level2"/>
      <w:bookmarkStart w:id="34" w:name="_Toc28622_WPSOffice_Level2"/>
      <w:bookmarkStart w:id="35" w:name="_Toc23139_WPSOffice_Level2"/>
      <w:bookmarkStart w:id="36" w:name="_Toc25608_WPSOffice_Level2"/>
      <w:r>
        <w:rPr>
          <w:rFonts w:hint="eastAsia" w:ascii="黑体" w:hAnsi="黑体" w:eastAsia="黑体" w:cs="黑体"/>
          <w:sz w:val="32"/>
          <w:szCs w:val="32"/>
        </w:rPr>
        <w:t>二、收入决算公开表</w:t>
      </w:r>
      <w:bookmarkEnd w:id="31"/>
      <w:bookmarkEnd w:id="32"/>
      <w:bookmarkEnd w:id="33"/>
      <w:bookmarkEnd w:id="34"/>
      <w:bookmarkEnd w:id="35"/>
      <w:bookmarkEnd w:id="36"/>
      <w:bookmarkStart w:id="37" w:name="_Toc14658_WPSOffice_Level2"/>
      <w:bookmarkStart w:id="38" w:name="_Toc3262_WPSOffice_Level2"/>
      <w:bookmarkStart w:id="39" w:name="_Toc13854_WPSOffice_Level2"/>
      <w:bookmarkStart w:id="40" w:name="_Toc5489_WPSOffice_Level2"/>
      <w:bookmarkStart w:id="41" w:name="_Toc17626_WPSOffice_Level2"/>
      <w:bookmarkStart w:id="42" w:name="_Toc17858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三、支出决算公开表</w:t>
      </w:r>
      <w:bookmarkEnd w:id="37"/>
      <w:bookmarkEnd w:id="38"/>
      <w:bookmarkEnd w:id="39"/>
      <w:bookmarkEnd w:id="40"/>
      <w:bookmarkEnd w:id="41"/>
      <w:bookmarkEnd w:id="42"/>
      <w:bookmarkStart w:id="43" w:name="_Toc7988_WPSOffice_Level2"/>
      <w:bookmarkStart w:id="44" w:name="_Toc4265_WPSOffice_Level2"/>
      <w:bookmarkStart w:id="45" w:name="_Toc21415_WPSOffice_Level2"/>
      <w:bookmarkStart w:id="46" w:name="_Toc13701_WPSOffice_Level2"/>
      <w:bookmarkStart w:id="47" w:name="_Toc23493_WPSOffice_Level2"/>
      <w:bookmarkStart w:id="48" w:name="_Toc23591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四、财政拨款收入支出决算公开表</w:t>
      </w:r>
      <w:bookmarkEnd w:id="43"/>
      <w:bookmarkEnd w:id="44"/>
      <w:bookmarkEnd w:id="45"/>
      <w:bookmarkEnd w:id="46"/>
      <w:bookmarkEnd w:id="47"/>
      <w:bookmarkEnd w:id="48"/>
    </w:p>
    <w:p>
      <w:pPr>
        <w:spacing w:line="578" w:lineRule="exact"/>
        <w:ind w:firstLine="645"/>
        <w:rPr>
          <w:rFonts w:hint="eastAsia" w:ascii="黑体" w:hAnsi="黑体" w:eastAsia="黑体" w:cs="黑体"/>
          <w:sz w:val="32"/>
          <w:szCs w:val="32"/>
        </w:rPr>
      </w:pPr>
      <w:bookmarkStart w:id="49" w:name="_Toc23829_WPSOffice_Level2"/>
      <w:bookmarkStart w:id="50" w:name="_Toc7879_WPSOffice_Level2"/>
      <w:bookmarkStart w:id="51" w:name="_Toc25166_WPSOffice_Level2"/>
      <w:bookmarkStart w:id="52" w:name="_Toc22783_WPSOffice_Level2"/>
      <w:bookmarkStart w:id="53" w:name="_Toc2158_WPSOffice_Level2"/>
      <w:bookmarkStart w:id="54" w:name="_Toc13516_WPSOffice_Level2"/>
      <w:r>
        <w:rPr>
          <w:rFonts w:hint="eastAsia" w:ascii="黑体" w:hAnsi="黑体" w:eastAsia="黑体" w:cs="黑体"/>
          <w:sz w:val="32"/>
          <w:szCs w:val="32"/>
        </w:rPr>
        <w:t>五、一般公共预算财政拨款收入支出决算</w:t>
      </w:r>
      <w:bookmarkEnd w:id="49"/>
      <w:bookmarkEnd w:id="50"/>
      <w:bookmarkEnd w:id="51"/>
      <w:bookmarkEnd w:id="52"/>
      <w:r>
        <w:rPr>
          <w:rFonts w:hint="eastAsia" w:ascii="黑体" w:hAnsi="黑体" w:eastAsia="黑体" w:cs="黑体"/>
          <w:sz w:val="32"/>
          <w:szCs w:val="32"/>
        </w:rPr>
        <w:t>公开表</w:t>
      </w:r>
      <w:bookmarkEnd w:id="53"/>
      <w:bookmarkEnd w:id="54"/>
      <w:bookmarkStart w:id="55" w:name="_Toc25362_WPSOffice_Level2"/>
      <w:bookmarkStart w:id="56" w:name="_Toc5343_WPSOffice_Level2"/>
      <w:bookmarkStart w:id="57" w:name="_Toc17283_WPSOffice_Level2"/>
      <w:bookmarkStart w:id="58" w:name="_Toc2632_WPSOffice_Level2"/>
      <w:bookmarkStart w:id="59" w:name="_Toc8373_WPSOffice_Level2"/>
      <w:bookmarkStart w:id="60" w:name="_Toc17833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六、一般公共预算财政拨款基本支出决算</w:t>
      </w:r>
      <w:bookmarkEnd w:id="55"/>
      <w:bookmarkEnd w:id="56"/>
      <w:bookmarkEnd w:id="57"/>
      <w:bookmarkEnd w:id="58"/>
      <w:bookmarkEnd w:id="59"/>
      <w:bookmarkEnd w:id="60"/>
      <w:r>
        <w:rPr>
          <w:rFonts w:hint="eastAsia" w:ascii="黑体" w:hAnsi="黑体" w:eastAsia="黑体" w:cs="黑体"/>
          <w:sz w:val="32"/>
          <w:szCs w:val="32"/>
        </w:rPr>
        <w:t>公开表</w:t>
      </w:r>
    </w:p>
    <w:p>
      <w:pPr>
        <w:spacing w:line="578" w:lineRule="exact"/>
        <w:ind w:left="1118" w:leftChars="304" w:hanging="480" w:hangingChars="150"/>
        <w:rPr>
          <w:rFonts w:hint="eastAsia" w:ascii="黑体" w:hAnsi="黑体" w:eastAsia="黑体" w:cs="黑体"/>
          <w:sz w:val="32"/>
          <w:szCs w:val="32"/>
        </w:rPr>
      </w:pPr>
      <w:bookmarkStart w:id="61" w:name="_Toc6020_WPSOffice_Level2"/>
      <w:bookmarkStart w:id="62" w:name="_Toc21310_WPSOffice_Level2"/>
      <w:bookmarkStart w:id="63" w:name="_Toc1533_WPSOffice_Level2"/>
      <w:bookmarkStart w:id="64" w:name="_Toc13345_WPSOffice_Level2"/>
      <w:bookmarkStart w:id="65" w:name="_Toc11799_WPSOffice_Level2"/>
      <w:bookmarkStart w:id="66" w:name="_Toc5594_WPSOffice_Level2"/>
      <w:r>
        <w:rPr>
          <w:rFonts w:hint="eastAsia" w:ascii="黑体" w:hAnsi="黑体" w:eastAsia="黑体" w:cs="黑体"/>
          <w:sz w:val="32"/>
          <w:szCs w:val="32"/>
        </w:rPr>
        <w:t>七、政府性基金预算财政拨款收入支出决算</w:t>
      </w:r>
      <w:bookmarkEnd w:id="61"/>
      <w:bookmarkEnd w:id="62"/>
      <w:bookmarkEnd w:id="63"/>
      <w:bookmarkEnd w:id="64"/>
      <w:bookmarkEnd w:id="65"/>
      <w:bookmarkEnd w:id="66"/>
      <w:r>
        <w:rPr>
          <w:rFonts w:hint="eastAsia" w:ascii="黑体" w:hAnsi="黑体" w:eastAsia="黑体" w:cs="黑体"/>
          <w:sz w:val="32"/>
          <w:szCs w:val="32"/>
        </w:rPr>
        <w:t>公开表</w:t>
      </w:r>
    </w:p>
    <w:p>
      <w:pPr>
        <w:spacing w:line="578" w:lineRule="exact"/>
        <w:ind w:left="1118" w:leftChars="304" w:hanging="480" w:hangingChars="150"/>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spacing w:line="578" w:lineRule="exact"/>
        <w:ind w:firstLine="640"/>
        <w:rPr>
          <w:rFonts w:hint="eastAsia" w:ascii="黑体" w:hAnsi="黑体" w:eastAsia="黑体" w:cs="黑体"/>
          <w:sz w:val="32"/>
          <w:szCs w:val="32"/>
        </w:rPr>
      </w:pPr>
      <w:bookmarkStart w:id="67" w:name="_Toc9377_WPSOffice_Level2"/>
      <w:bookmarkStart w:id="68" w:name="_Toc1820_WPSOffice_Level2"/>
      <w:bookmarkStart w:id="69" w:name="_Toc19961_WPSOffice_Level2"/>
      <w:bookmarkStart w:id="70" w:name="_Toc29886_WPSOffice_Level2"/>
      <w:r>
        <w:rPr>
          <w:rFonts w:hint="eastAsia" w:ascii="黑体" w:hAnsi="黑体" w:eastAsia="黑体" w:cs="黑体"/>
          <w:sz w:val="32"/>
          <w:szCs w:val="32"/>
        </w:rPr>
        <w:t>九、财政拨款“三公”经费支出决算</w:t>
      </w:r>
      <w:bookmarkEnd w:id="67"/>
      <w:bookmarkEnd w:id="68"/>
      <w:bookmarkEnd w:id="69"/>
      <w:bookmarkEnd w:id="70"/>
      <w:r>
        <w:rPr>
          <w:rFonts w:hint="eastAsia" w:ascii="黑体" w:hAnsi="黑体" w:eastAsia="黑体" w:cs="黑体"/>
          <w:sz w:val="32"/>
          <w:szCs w:val="32"/>
        </w:rPr>
        <w:t>公开表</w:t>
      </w:r>
    </w:p>
    <w:p>
      <w:pPr>
        <w:spacing w:line="578" w:lineRule="exact"/>
        <w:ind w:firstLine="640"/>
        <w:rPr>
          <w:rFonts w:hint="eastAsia" w:ascii="仿宋" w:hAnsi="仿宋" w:eastAsia="仿宋" w:cs="仿宋"/>
          <w:w w:val="100"/>
          <w:sz w:val="32"/>
          <w:szCs w:val="32"/>
        </w:rPr>
      </w:pPr>
      <w:r>
        <w:rPr>
          <w:rFonts w:hint="eastAsia" w:ascii="仿宋" w:hAnsi="仿宋" w:eastAsia="仿宋" w:cs="仿宋"/>
          <w:w w:val="100"/>
          <w:sz w:val="32"/>
          <w:szCs w:val="32"/>
        </w:rPr>
        <w:t xml:space="preserve">以上报表见附件1。   </w:t>
      </w:r>
    </w:p>
    <w:p>
      <w:pPr>
        <w:spacing w:line="578" w:lineRule="exact"/>
        <w:rPr>
          <w:rFonts w:hint="eastAsia" w:ascii="黑体" w:hAnsi="黑体" w:eastAsia="黑体" w:cs="黑体"/>
          <w:sz w:val="32"/>
          <w:szCs w:val="32"/>
        </w:rPr>
      </w:pPr>
    </w:p>
    <w:p>
      <w:pPr>
        <w:spacing w:line="578" w:lineRule="exact"/>
        <w:jc w:val="center"/>
        <w:rPr>
          <w:rFonts w:hint="eastAsia" w:ascii="黑体" w:hAnsi="ˎ̥" w:eastAsia="黑体"/>
          <w:sz w:val="32"/>
          <w:szCs w:val="32"/>
        </w:rPr>
      </w:pPr>
      <w:bookmarkStart w:id="71" w:name="_Toc28629_WPSOffice_Level1"/>
      <w:bookmarkStart w:id="72" w:name="_Toc4402_WPSOffice_Level1"/>
      <w:bookmarkStart w:id="73" w:name="_Toc16686_WPSOffice_Level1"/>
      <w:bookmarkStart w:id="74" w:name="_Toc27590_WPSOffice_Level1"/>
      <w:bookmarkStart w:id="75" w:name="_Toc29683_WPSOffice_Level1"/>
      <w:bookmarkStart w:id="76" w:name="_Toc31264_WPSOffice_Level1"/>
      <w:r>
        <w:rPr>
          <w:rFonts w:hint="eastAsia" w:ascii="黑体" w:hAnsi="ˎ̥" w:eastAsia="黑体"/>
          <w:sz w:val="32"/>
          <w:szCs w:val="32"/>
        </w:rPr>
        <w:t xml:space="preserve">第三部分  </w:t>
      </w:r>
      <w:r>
        <w:rPr>
          <w:rFonts w:hint="default" w:ascii="黑体" w:hAnsi="ˎ̥" w:eastAsia="黑体"/>
          <w:sz w:val="32"/>
          <w:szCs w:val="32"/>
          <w:lang w:val="en-US"/>
        </w:rPr>
        <w:t>2024</w:t>
      </w:r>
      <w:r>
        <w:rPr>
          <w:rFonts w:hint="eastAsia" w:ascii="黑体" w:hAnsi="ˎ̥" w:eastAsia="黑体"/>
          <w:sz w:val="32"/>
          <w:szCs w:val="32"/>
        </w:rPr>
        <w:t>年度部门决算情况说明</w:t>
      </w:r>
      <w:bookmarkEnd w:id="71"/>
      <w:bookmarkEnd w:id="72"/>
      <w:bookmarkEnd w:id="73"/>
      <w:bookmarkEnd w:id="74"/>
      <w:bookmarkEnd w:id="75"/>
      <w:bookmarkEnd w:id="76"/>
    </w:p>
    <w:p>
      <w:pPr>
        <w:spacing w:line="578" w:lineRule="exact"/>
        <w:jc w:val="center"/>
        <w:rPr>
          <w:rFonts w:hint="eastAsia" w:ascii="黑体" w:hAnsi="ˎ̥" w:eastAsia="黑体"/>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sz w:val="32"/>
          <w:szCs w:val="32"/>
        </w:rPr>
      </w:pPr>
      <w:r>
        <w:rPr>
          <w:rFonts w:hint="eastAsia" w:ascii="黑体" w:hAnsi="黑体" w:eastAsia="黑体" w:cs="黑体"/>
          <w:bCs/>
          <w:sz w:val="32"/>
          <w:szCs w:val="32"/>
        </w:rPr>
        <w:t>一、收入支出总体情况说明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default" w:ascii="仿宋_GB2312" w:hAnsi="ˎ̥" w:eastAsia="仿宋_GB2312"/>
          <w:sz w:val="32"/>
          <w:szCs w:val="32"/>
          <w:lang w:val="en-US"/>
        </w:rPr>
        <w:t>2024</w:t>
      </w:r>
      <w:r>
        <w:rPr>
          <w:rFonts w:hint="eastAsia" w:ascii="仿宋_GB2312" w:hAnsi="ˎ̥" w:eastAsia="仿宋_GB2312"/>
          <w:sz w:val="32"/>
          <w:szCs w:val="32"/>
        </w:rPr>
        <w:t>年度收入总</w:t>
      </w:r>
      <w:r>
        <w:rPr>
          <w:rFonts w:hint="eastAsia" w:ascii="仿宋_GB2312" w:hAnsi="ˎ̥" w:eastAsia="仿宋_GB2312"/>
          <w:color w:val="auto"/>
          <w:sz w:val="32"/>
          <w:szCs w:val="32"/>
        </w:rPr>
        <w:t>计</w:t>
      </w:r>
      <w:r>
        <w:rPr>
          <w:rFonts w:hint="default" w:ascii="仿宋_GB2312" w:hAnsi="ˎ̥" w:eastAsia="仿宋_GB2312"/>
          <w:color w:val="auto"/>
          <w:sz w:val="32"/>
          <w:szCs w:val="32"/>
          <w:lang w:val="en-US"/>
        </w:rPr>
        <w:t>31,343.31</w:t>
      </w:r>
      <w:r>
        <w:rPr>
          <w:rFonts w:hint="eastAsia" w:ascii="仿宋_GB2312" w:hAnsi="ˎ̥" w:eastAsia="仿宋_GB2312"/>
          <w:color w:val="auto"/>
          <w:sz w:val="32"/>
          <w:szCs w:val="32"/>
        </w:rPr>
        <w:t>万元，支出总计</w:t>
      </w:r>
      <w:r>
        <w:rPr>
          <w:rFonts w:hint="default" w:ascii="仿宋_GB2312" w:hAnsi="ˎ̥" w:eastAsia="仿宋_GB2312"/>
          <w:color w:val="auto"/>
          <w:sz w:val="32"/>
          <w:szCs w:val="32"/>
          <w:lang w:val="en-US"/>
        </w:rPr>
        <w:t>31,343.31</w:t>
      </w:r>
      <w:r>
        <w:rPr>
          <w:rFonts w:hint="eastAsia" w:ascii="仿宋_GB2312" w:hAnsi="ˎ̥" w:eastAsia="仿宋_GB2312"/>
          <w:sz w:val="32"/>
          <w:szCs w:val="32"/>
        </w:rPr>
        <w:t>万元，与</w:t>
      </w:r>
      <w:r>
        <w:rPr>
          <w:rFonts w:hint="default" w:ascii="仿宋_GB2312" w:hAnsi="ˎ̥" w:eastAsia="仿宋_GB2312"/>
          <w:sz w:val="32"/>
          <w:szCs w:val="32"/>
          <w:lang w:val="en-US"/>
        </w:rPr>
        <w:t>2023</w:t>
      </w:r>
      <w:r>
        <w:rPr>
          <w:rFonts w:hint="eastAsia" w:ascii="仿宋_GB2312" w:hAnsi="ˎ̥" w:eastAsia="仿宋_GB2312"/>
          <w:sz w:val="32"/>
          <w:szCs w:val="32"/>
        </w:rPr>
        <w:t>年度相比，收入、支出总计各减少</w:t>
      </w:r>
      <w:r>
        <w:rPr>
          <w:rFonts w:hint="default" w:ascii="仿宋_GB2312" w:hAnsi="ˎ̥" w:eastAsia="仿宋_GB2312"/>
          <w:sz w:val="32"/>
          <w:szCs w:val="32"/>
          <w:lang w:val="en"/>
        </w:rPr>
        <w:t>1,986.44</w:t>
      </w:r>
      <w:r>
        <w:rPr>
          <w:rFonts w:hint="eastAsia" w:ascii="仿宋_GB2312" w:hAnsi="ˎ̥" w:eastAsia="仿宋_GB2312"/>
          <w:sz w:val="32"/>
          <w:szCs w:val="32"/>
        </w:rPr>
        <w:t>万元，下降</w:t>
      </w:r>
      <w:r>
        <w:rPr>
          <w:rFonts w:hint="default" w:ascii="仿宋_GB2312" w:hAnsi="ˎ̥" w:eastAsia="仿宋_GB2312"/>
          <w:sz w:val="32"/>
          <w:szCs w:val="32"/>
          <w:lang w:val="en"/>
        </w:rPr>
        <w:t>5.96</w:t>
      </w:r>
      <w:r>
        <w:rPr>
          <w:rFonts w:hint="eastAsia" w:ascii="仿宋_GB2312" w:hAnsi="ˎ̥" w:eastAsia="仿宋_GB2312"/>
          <w:sz w:val="32"/>
          <w:szCs w:val="32"/>
        </w:rPr>
        <w:t>%。主要原因：</w:t>
      </w:r>
      <w:r>
        <w:rPr>
          <w:rFonts w:hint="eastAsia" w:ascii="仿宋_GB2312" w:hAnsi="ˎ̥" w:eastAsia="仿宋_GB2312"/>
          <w:sz w:val="32"/>
          <w:szCs w:val="32"/>
          <w:lang w:eastAsia="zh-CN"/>
        </w:rPr>
        <w:t>压减开支，节约经费，部分阶段性项目已完成</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（一</w:t>
      </w:r>
      <w:r>
        <w:rPr>
          <w:rFonts w:ascii="楷体" w:hAnsi="楷体" w:eastAsia="楷体" w:cs="楷体"/>
          <w:sz w:val="32"/>
          <w:szCs w:val="32"/>
        </w:rPr>
        <w:t>）</w:t>
      </w:r>
      <w:r>
        <w:rPr>
          <w:rFonts w:hint="eastAsia" w:ascii="楷体" w:hAnsi="楷体" w:eastAsia="楷体" w:cs="楷体"/>
          <w:sz w:val="32"/>
          <w:szCs w:val="32"/>
        </w:rPr>
        <w:t>收入</w:t>
      </w:r>
      <w:r>
        <w:rPr>
          <w:rFonts w:ascii="楷体" w:hAnsi="楷体" w:eastAsia="楷体" w:cs="楷体"/>
          <w:sz w:val="32"/>
          <w:szCs w:val="32"/>
        </w:rPr>
        <w:t>总计</w:t>
      </w:r>
      <w:r>
        <w:rPr>
          <w:rFonts w:hint="eastAsia" w:ascii="楷体" w:hAnsi="楷体" w:eastAsia="楷体" w:cs="楷体"/>
          <w:sz w:val="32"/>
          <w:szCs w:val="32"/>
        </w:rPr>
        <w:t>主要</w:t>
      </w:r>
      <w:r>
        <w:rPr>
          <w:rFonts w:ascii="楷体" w:hAnsi="楷体" w:eastAsia="楷体" w:cs="楷体"/>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sz w:val="32"/>
          <w:szCs w:val="32"/>
        </w:rPr>
      </w:pPr>
      <w:r>
        <w:rPr>
          <w:rFonts w:hint="eastAsia" w:ascii="仿宋_GB2312" w:hAnsi="ˎ̥" w:eastAsia="仿宋_GB2312"/>
          <w:sz w:val="32"/>
          <w:szCs w:val="32"/>
        </w:rPr>
        <w:t>本</w:t>
      </w:r>
      <w:r>
        <w:rPr>
          <w:rFonts w:hint="eastAsia" w:ascii="仿宋_GB2312" w:hAnsi="ˎ̥" w:eastAsia="仿宋_GB2312"/>
          <w:color w:val="auto"/>
          <w:sz w:val="32"/>
          <w:szCs w:val="32"/>
        </w:rPr>
        <w:t>年</w:t>
      </w:r>
      <w:r>
        <w:rPr>
          <w:rFonts w:ascii="仿宋_GB2312" w:hAnsi="ˎ̥" w:eastAsia="仿宋_GB2312"/>
          <w:color w:val="auto"/>
          <w:sz w:val="32"/>
          <w:szCs w:val="32"/>
        </w:rPr>
        <w:t>收入</w:t>
      </w:r>
      <w:r>
        <w:rPr>
          <w:rFonts w:hint="default" w:ascii="仿宋_GB2312" w:hAnsi="ˎ̥" w:eastAsia="仿宋_GB2312"/>
          <w:color w:val="auto"/>
          <w:sz w:val="32"/>
          <w:szCs w:val="32"/>
          <w:lang w:val="en-US"/>
        </w:rPr>
        <w:t>31,337.14</w:t>
      </w:r>
      <w:r>
        <w:rPr>
          <w:rFonts w:hint="eastAsia" w:ascii="仿宋_GB2312" w:hAnsi="ˎ̥" w:eastAsia="仿宋_GB2312"/>
          <w:color w:val="auto"/>
          <w:sz w:val="32"/>
          <w:szCs w:val="32"/>
        </w:rPr>
        <w:t>万元。年初结转结余</w:t>
      </w:r>
      <w:r>
        <w:rPr>
          <w:rFonts w:hint="default" w:ascii="仿宋_GB2312" w:hAnsi="ˎ̥" w:eastAsia="仿宋_GB2312"/>
          <w:color w:val="auto"/>
          <w:sz w:val="32"/>
          <w:szCs w:val="32"/>
          <w:lang w:val="en-US"/>
        </w:rPr>
        <w:t>6.18</w:t>
      </w:r>
      <w:r>
        <w:rPr>
          <w:rFonts w:hint="eastAsia" w:ascii="仿宋_GB2312" w:hAnsi="ˎ̥" w:eastAsia="仿宋_GB2312"/>
          <w:color w:val="auto"/>
          <w:sz w:val="32"/>
          <w:szCs w:val="32"/>
        </w:rPr>
        <w:t>万元，</w:t>
      </w:r>
      <w:bookmarkStart w:id="119" w:name="_GoBack"/>
      <w:bookmarkEnd w:id="119"/>
      <w:r>
        <w:rPr>
          <w:rFonts w:hint="eastAsia" w:ascii="仿宋_GB2312" w:hAnsi="ˎ̥" w:eastAsia="仿宋_GB2312"/>
          <w:sz w:val="32"/>
          <w:szCs w:val="32"/>
        </w:rPr>
        <w:t>较</w:t>
      </w:r>
      <w:r>
        <w:rPr>
          <w:rFonts w:hint="default" w:ascii="仿宋_GB2312" w:hAnsi="ˎ̥" w:eastAsia="仿宋_GB2312"/>
          <w:sz w:val="32"/>
          <w:szCs w:val="32"/>
          <w:lang w:val="en-US"/>
        </w:rPr>
        <w:t>2023</w:t>
      </w:r>
      <w:r>
        <w:rPr>
          <w:rFonts w:hint="eastAsia" w:ascii="仿宋_GB2312" w:hAnsi="ˎ̥" w:eastAsia="仿宋_GB2312"/>
          <w:sz w:val="32"/>
          <w:szCs w:val="32"/>
        </w:rPr>
        <w:t>年度决算</w:t>
      </w:r>
      <w:r>
        <w:rPr>
          <w:rFonts w:hint="eastAsia" w:ascii="仿宋_GB2312" w:hAnsi="ˎ̥" w:eastAsia="仿宋_GB2312"/>
          <w:color w:val="auto"/>
          <w:sz w:val="32"/>
          <w:szCs w:val="32"/>
        </w:rPr>
        <w:t>数</w:t>
      </w:r>
      <w:r>
        <w:rPr>
          <w:rFonts w:hint="eastAsia" w:ascii="仿宋_GB2312" w:hAnsi="ˎ̥" w:eastAsia="仿宋_GB2312"/>
          <w:color w:val="auto"/>
          <w:sz w:val="32"/>
          <w:szCs w:val="32"/>
          <w:lang w:eastAsia="zh-CN"/>
        </w:rPr>
        <w:t>增加</w:t>
      </w:r>
      <w:r>
        <w:rPr>
          <w:rFonts w:hint="eastAsia" w:ascii="仿宋_GB2312" w:hAnsi="ˎ̥" w:eastAsia="仿宋_GB2312"/>
          <w:color w:val="auto"/>
          <w:sz w:val="32"/>
          <w:szCs w:val="32"/>
          <w:lang w:val="en-US" w:eastAsia="zh-CN"/>
        </w:rPr>
        <w:t>1.89</w:t>
      </w:r>
      <w:r>
        <w:rPr>
          <w:rFonts w:hint="eastAsia" w:ascii="仿宋_GB2312" w:hAnsi="ˎ̥" w:eastAsia="仿宋_GB2312"/>
          <w:color w:val="auto"/>
          <w:sz w:val="32"/>
          <w:szCs w:val="32"/>
        </w:rPr>
        <w:t>万元</w:t>
      </w:r>
      <w:r>
        <w:rPr>
          <w:rFonts w:hint="eastAsia" w:ascii="仿宋_GB2312" w:hAnsi="ˎ̥" w:eastAsia="仿宋_GB2312"/>
          <w:sz w:val="32"/>
          <w:szCs w:val="32"/>
        </w:rPr>
        <w:t>，</w:t>
      </w:r>
      <w:r>
        <w:rPr>
          <w:rFonts w:hint="eastAsia" w:ascii="仿宋_GB2312" w:hAnsi="ˎ̥" w:eastAsia="仿宋_GB2312"/>
          <w:sz w:val="32"/>
          <w:szCs w:val="32"/>
          <w:lang w:eastAsia="zh-CN"/>
        </w:rPr>
        <w:t>增长</w:t>
      </w:r>
      <w:r>
        <w:rPr>
          <w:rFonts w:hint="eastAsia" w:ascii="仿宋_GB2312" w:hAnsi="ˎ̥" w:eastAsia="仿宋_GB2312"/>
          <w:sz w:val="32"/>
          <w:szCs w:val="32"/>
          <w:lang w:val="en-US" w:eastAsia="zh-CN"/>
        </w:rPr>
        <w:t>44.06</w:t>
      </w:r>
      <w:r>
        <w:rPr>
          <w:rFonts w:hint="eastAsia" w:ascii="仿宋_GB2312" w:hAnsi="ˎ̥" w:eastAsia="仿宋_GB2312"/>
          <w:sz w:val="32"/>
          <w:szCs w:val="32"/>
        </w:rPr>
        <w:t>%，主要原因是</w:t>
      </w:r>
      <w:r>
        <w:rPr>
          <w:rFonts w:hint="eastAsia" w:ascii="仿宋_GB2312" w:hAnsi="ˎ̥" w:eastAsia="仿宋_GB2312"/>
          <w:sz w:val="32"/>
          <w:szCs w:val="32"/>
          <w:lang w:eastAsia="zh-CN"/>
        </w:rPr>
        <w:t>收税务机关</w:t>
      </w:r>
      <w:r>
        <w:rPr>
          <w:rFonts w:hint="eastAsia" w:ascii="仿宋_GB2312" w:hAnsi="ˎ̥" w:eastAsia="仿宋_GB2312"/>
          <w:sz w:val="32"/>
          <w:szCs w:val="32"/>
        </w:rPr>
        <w:t>返还个税奖励金。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（二</w:t>
      </w:r>
      <w:r>
        <w:rPr>
          <w:rFonts w:ascii="楷体" w:hAnsi="楷体" w:eastAsia="楷体" w:cs="楷体"/>
          <w:sz w:val="32"/>
          <w:szCs w:val="32"/>
        </w:rPr>
        <w:t>）</w:t>
      </w:r>
      <w:r>
        <w:rPr>
          <w:rFonts w:hint="eastAsia" w:ascii="楷体" w:hAnsi="楷体" w:eastAsia="楷体" w:cs="楷体"/>
          <w:sz w:val="32"/>
          <w:szCs w:val="32"/>
        </w:rPr>
        <w:t>支出</w:t>
      </w:r>
      <w:r>
        <w:rPr>
          <w:rFonts w:ascii="楷体" w:hAnsi="楷体" w:eastAsia="楷体" w:cs="楷体"/>
          <w:sz w:val="32"/>
          <w:szCs w:val="32"/>
        </w:rPr>
        <w:t>总计</w:t>
      </w:r>
      <w:r>
        <w:rPr>
          <w:rFonts w:hint="eastAsia" w:ascii="楷体" w:hAnsi="楷体" w:eastAsia="楷体" w:cs="楷体"/>
          <w:sz w:val="32"/>
          <w:szCs w:val="32"/>
        </w:rPr>
        <w:t>主要</w:t>
      </w:r>
      <w:r>
        <w:rPr>
          <w:rFonts w:ascii="楷体" w:hAnsi="楷体" w:eastAsia="楷体" w:cs="楷体"/>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31,333.23</w:t>
      </w:r>
      <w:r>
        <w:rPr>
          <w:rFonts w:hint="eastAsia" w:ascii="仿宋_GB2312" w:hAnsi="ˎ̥" w:eastAsia="仿宋_GB2312"/>
          <w:color w:val="auto"/>
          <w:sz w:val="32"/>
          <w:szCs w:val="32"/>
        </w:rPr>
        <w:t>万元。年末结转结余</w:t>
      </w:r>
      <w:r>
        <w:rPr>
          <w:rFonts w:hint="default" w:ascii="仿宋_GB2312" w:hAnsi="ˎ̥" w:eastAsia="仿宋_GB2312"/>
          <w:color w:val="auto"/>
          <w:sz w:val="32"/>
          <w:szCs w:val="32"/>
          <w:lang w:val="en-US"/>
        </w:rPr>
        <w:t>10.09</w:t>
      </w:r>
      <w:r>
        <w:rPr>
          <w:rFonts w:hint="eastAsia" w:ascii="仿宋_GB2312" w:hAnsi="ˎ̥" w:eastAsia="仿宋_GB2312"/>
          <w:color w:val="auto"/>
          <w:sz w:val="32"/>
          <w:szCs w:val="32"/>
        </w:rPr>
        <w:t>万元</w:t>
      </w:r>
      <w:r>
        <w:rPr>
          <w:rFonts w:hint="eastAsia" w:ascii="仿宋_GB2312" w:hAnsi="ˎ̥" w:eastAsia="仿宋_GB2312"/>
          <w:sz w:val="32"/>
          <w:szCs w:val="32"/>
        </w:rPr>
        <w:t>，主要是近两年</w:t>
      </w:r>
      <w:r>
        <w:rPr>
          <w:rFonts w:hint="eastAsia" w:ascii="仿宋_GB2312" w:hAnsi="ˎ̥" w:eastAsia="仿宋_GB2312"/>
          <w:sz w:val="32"/>
          <w:szCs w:val="32"/>
          <w:lang w:eastAsia="zh-CN"/>
        </w:rPr>
        <w:t>税务机关</w:t>
      </w:r>
      <w:r>
        <w:rPr>
          <w:rFonts w:hint="eastAsia" w:ascii="仿宋_GB2312" w:hAnsi="ˎ̥" w:eastAsia="仿宋_GB2312"/>
          <w:sz w:val="32"/>
          <w:szCs w:val="32"/>
        </w:rPr>
        <w:t>返还个税奖励金，较</w:t>
      </w:r>
      <w:r>
        <w:rPr>
          <w:rFonts w:hint="default" w:ascii="仿宋_GB2312" w:hAnsi="ˎ̥" w:eastAsia="仿宋_GB2312"/>
          <w:sz w:val="32"/>
          <w:szCs w:val="32"/>
          <w:lang w:val="en-US"/>
        </w:rPr>
        <w:t>2023</w:t>
      </w:r>
      <w:r>
        <w:rPr>
          <w:rFonts w:hint="eastAsia" w:ascii="仿宋_GB2312" w:hAnsi="ˎ̥" w:eastAsia="仿宋_GB2312"/>
          <w:sz w:val="32"/>
          <w:szCs w:val="32"/>
        </w:rPr>
        <w:t>年度决算数</w:t>
      </w:r>
      <w:r>
        <w:rPr>
          <w:rFonts w:hint="eastAsia" w:ascii="仿宋_GB2312" w:hAnsi="ˎ̥" w:eastAsia="仿宋_GB2312"/>
          <w:sz w:val="32"/>
          <w:szCs w:val="32"/>
          <w:lang w:val="en" w:eastAsia="zh-CN"/>
        </w:rPr>
        <w:t>增加</w:t>
      </w:r>
      <w:r>
        <w:rPr>
          <w:rFonts w:hint="eastAsia" w:ascii="仿宋_GB2312" w:hAnsi="ˎ̥" w:eastAsia="仿宋_GB2312"/>
          <w:sz w:val="32"/>
          <w:szCs w:val="32"/>
          <w:lang w:val="en-US" w:eastAsia="zh-CN"/>
        </w:rPr>
        <w:t>3.91</w:t>
      </w:r>
      <w:r>
        <w:rPr>
          <w:rFonts w:hint="eastAsia" w:ascii="仿宋_GB2312" w:hAnsi="ˎ̥" w:eastAsia="仿宋_GB2312"/>
          <w:sz w:val="32"/>
          <w:szCs w:val="32"/>
        </w:rPr>
        <w:t>万元，增长</w:t>
      </w:r>
      <w:r>
        <w:rPr>
          <w:rFonts w:hint="default" w:ascii="仿宋_GB2312" w:hAnsi="ˎ̥" w:eastAsia="仿宋_GB2312"/>
          <w:sz w:val="32"/>
          <w:szCs w:val="32"/>
          <w:lang w:val="en"/>
        </w:rPr>
        <w:t>63.27</w:t>
      </w:r>
      <w:r>
        <w:rPr>
          <w:rFonts w:hint="eastAsia" w:ascii="仿宋_GB2312" w:hAnsi="ˎ̥" w:eastAsia="仿宋_GB2312"/>
          <w:sz w:val="32"/>
          <w:szCs w:val="32"/>
        </w:rPr>
        <w:t>%，主要原因是</w:t>
      </w:r>
      <w:r>
        <w:rPr>
          <w:rFonts w:hint="eastAsia" w:ascii="仿宋_GB2312" w:hAnsi="ˎ̥" w:eastAsia="仿宋_GB2312"/>
          <w:sz w:val="32"/>
          <w:szCs w:val="32"/>
          <w:lang w:eastAsia="zh-CN"/>
        </w:rPr>
        <w:t>项目结转结余增加</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黑体" w:hAnsi="黑体" w:eastAsia="黑体" w:cs="黑体"/>
          <w:bCs/>
          <w:sz w:val="32"/>
          <w:szCs w:val="32"/>
        </w:rPr>
        <w:t>二、收入决算情况说明</w:t>
      </w:r>
      <w:r>
        <w:rPr>
          <w:rFonts w:hint="eastAsia" w:ascii="黑体" w:hAnsi="黑体" w:eastAsia="黑体" w:cs="黑体"/>
          <w:bCs/>
          <w:sz w:val="32"/>
          <w:szCs w:val="32"/>
          <w:lang w:val="en-US" w:eastAsia="zh-CN"/>
        </w:rPr>
        <w:t xml:space="preserve"> </w:t>
      </w:r>
      <w:r>
        <w:rPr>
          <w:rFonts w:hint="eastAsia" w:ascii="黑体" w:hAnsi="黑体" w:eastAsia="黑体" w:cs="黑体"/>
          <w:bCs/>
          <w:sz w:val="32"/>
          <w:szCs w:val="32"/>
        </w:rPr>
        <w:br w:type="textWrapping"/>
      </w:r>
      <w:r>
        <w:rPr>
          <w:rFonts w:hint="eastAsia" w:ascii="仿宋_GB2312" w:hAnsi="ˎ̥" w:eastAsia="仿宋_GB2312"/>
          <w:sz w:val="32"/>
          <w:szCs w:val="32"/>
        </w:rPr>
        <w:t xml:space="preserve">    </w:t>
      </w:r>
      <w:r>
        <w:rPr>
          <w:rFonts w:hint="eastAsia" w:ascii="仿宋_GB2312" w:hAnsi="ˎ̥" w:eastAsia="仿宋_GB2312"/>
          <w:color w:val="auto"/>
          <w:sz w:val="32"/>
          <w:szCs w:val="32"/>
        </w:rPr>
        <w:t>本年收入</w:t>
      </w:r>
      <w:r>
        <w:rPr>
          <w:rFonts w:hint="default" w:ascii="仿宋_GB2312" w:hAnsi="ˎ̥" w:eastAsia="仿宋_GB2312"/>
          <w:color w:val="auto"/>
          <w:sz w:val="32"/>
          <w:szCs w:val="32"/>
          <w:lang w:val="en-US"/>
        </w:rPr>
        <w:t>31,337.14</w:t>
      </w:r>
      <w:r>
        <w:rPr>
          <w:rFonts w:hint="eastAsia" w:ascii="仿宋_GB2312" w:hAnsi="ˎ̥" w:eastAsia="仿宋_GB2312"/>
          <w:color w:val="auto"/>
          <w:sz w:val="32"/>
          <w:szCs w:val="32"/>
        </w:rPr>
        <w:t>万元，其中：财政拨款收入</w:t>
      </w:r>
      <w:r>
        <w:rPr>
          <w:rFonts w:hint="default" w:ascii="仿宋_GB2312" w:hAnsi="ˎ̥" w:eastAsia="仿宋_GB2312"/>
          <w:color w:val="auto"/>
          <w:sz w:val="32"/>
          <w:szCs w:val="32"/>
          <w:lang w:val="en-US"/>
        </w:rPr>
        <w:t>31,100.73</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99.25</w:t>
      </w:r>
      <w:r>
        <w:rPr>
          <w:rFonts w:hint="eastAsia" w:ascii="仿宋_GB2312" w:hAnsi="ˎ̥" w:eastAsia="仿宋_GB2312"/>
          <w:color w:val="auto"/>
          <w:sz w:val="32"/>
          <w:szCs w:val="32"/>
        </w:rPr>
        <w:t>%；其他收入</w:t>
      </w:r>
      <w:r>
        <w:rPr>
          <w:rFonts w:hint="default" w:ascii="仿宋_GB2312" w:hAnsi="ˎ̥" w:eastAsia="仿宋_GB2312"/>
          <w:color w:val="auto"/>
          <w:sz w:val="32"/>
          <w:szCs w:val="32"/>
          <w:lang w:val="en-US"/>
        </w:rPr>
        <w:t>236.41</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0.75</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31,333.23</w:t>
      </w:r>
      <w:r>
        <w:rPr>
          <w:rFonts w:hint="eastAsia" w:ascii="仿宋_GB2312" w:hAnsi="ˎ̥" w:eastAsia="仿宋_GB2312"/>
          <w:color w:val="auto"/>
          <w:sz w:val="32"/>
          <w:szCs w:val="32"/>
        </w:rPr>
        <w:t>万元，其中：基本支出</w:t>
      </w:r>
      <w:r>
        <w:rPr>
          <w:rFonts w:hint="default" w:ascii="仿宋_GB2312" w:hAnsi="ˎ̥" w:eastAsia="仿宋_GB2312"/>
          <w:color w:val="auto"/>
          <w:sz w:val="32"/>
          <w:szCs w:val="32"/>
          <w:lang w:val="en-US"/>
        </w:rPr>
        <w:t>18,027.67</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57.54</w:t>
      </w:r>
      <w:r>
        <w:rPr>
          <w:rFonts w:hint="eastAsia" w:ascii="仿宋_GB2312" w:hAnsi="ˎ̥" w:eastAsia="仿宋_GB2312"/>
          <w:color w:val="auto"/>
          <w:sz w:val="32"/>
          <w:szCs w:val="32"/>
        </w:rPr>
        <w:t>%；项目支出</w:t>
      </w:r>
      <w:r>
        <w:rPr>
          <w:rFonts w:hint="default" w:ascii="仿宋_GB2312" w:hAnsi="ˎ̥" w:eastAsia="仿宋_GB2312"/>
          <w:color w:val="auto"/>
          <w:sz w:val="32"/>
          <w:szCs w:val="32"/>
          <w:lang w:val="en-US"/>
        </w:rPr>
        <w:t>13,305.56</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42.46</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年度财政拨款收入</w:t>
      </w:r>
      <w:r>
        <w:rPr>
          <w:rFonts w:hint="default" w:ascii="仿宋_GB2312" w:hAnsi="ˎ̥" w:eastAsia="仿宋_GB2312"/>
          <w:color w:val="auto"/>
          <w:sz w:val="32"/>
          <w:szCs w:val="32"/>
          <w:lang w:val="en-US"/>
        </w:rPr>
        <w:t>31,100.73</w:t>
      </w:r>
      <w:r>
        <w:rPr>
          <w:rFonts w:hint="eastAsia" w:ascii="仿宋_GB2312" w:hAnsi="ˎ̥" w:eastAsia="仿宋_GB2312"/>
          <w:color w:val="auto"/>
          <w:sz w:val="32"/>
          <w:szCs w:val="32"/>
        </w:rPr>
        <w:t>万元，支出</w:t>
      </w:r>
      <w:r>
        <w:rPr>
          <w:rFonts w:hint="default" w:ascii="仿宋_GB2312" w:hAnsi="ˎ̥" w:eastAsia="仿宋_GB2312"/>
          <w:color w:val="auto"/>
          <w:sz w:val="32"/>
          <w:szCs w:val="32"/>
          <w:lang w:val="en-US"/>
        </w:rPr>
        <w:t>31,100.73</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年度相比，财政拨款收入</w:t>
      </w:r>
      <w:r>
        <w:rPr>
          <w:rFonts w:hint="eastAsia" w:ascii="仿宋_GB2312" w:hAnsi="ˎ̥" w:eastAsia="仿宋_GB2312"/>
          <w:color w:val="auto"/>
          <w:sz w:val="32"/>
          <w:szCs w:val="32"/>
          <w:lang w:eastAsia="zh-CN"/>
        </w:rPr>
        <w:t>、支出均</w:t>
      </w:r>
      <w:r>
        <w:rPr>
          <w:rFonts w:hint="eastAsia" w:ascii="仿宋_GB2312" w:hAnsi="ˎ̥" w:eastAsia="仿宋_GB2312"/>
          <w:color w:val="auto"/>
          <w:sz w:val="32"/>
          <w:szCs w:val="32"/>
        </w:rPr>
        <w:t>减少</w:t>
      </w:r>
      <w:r>
        <w:rPr>
          <w:rFonts w:hint="eastAsia" w:ascii="仿宋_GB2312" w:hAnsi="ˎ̥" w:eastAsia="仿宋_GB2312"/>
          <w:color w:val="auto"/>
          <w:sz w:val="32"/>
          <w:szCs w:val="32"/>
          <w:lang w:val="en-US" w:eastAsia="zh-CN"/>
        </w:rPr>
        <w:t>2,222.85</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6.67</w:t>
      </w:r>
      <w:r>
        <w:rPr>
          <w:rFonts w:hint="eastAsia" w:ascii="仿宋_GB2312" w:hAnsi="ˎ̥" w:eastAsia="仿宋_GB2312"/>
          <w:color w:val="auto"/>
          <w:sz w:val="32"/>
          <w:szCs w:val="32"/>
        </w:rPr>
        <w:t>%，</w:t>
      </w:r>
      <w:r>
        <w:rPr>
          <w:rFonts w:hint="eastAsia" w:ascii="仿宋_GB2312" w:hAnsi="ˎ̥" w:eastAsia="仿宋_GB2312"/>
          <w:sz w:val="32"/>
          <w:szCs w:val="32"/>
        </w:rPr>
        <w:t>主要原因：</w:t>
      </w:r>
      <w:r>
        <w:rPr>
          <w:rFonts w:hint="eastAsia" w:ascii="仿宋_GB2312" w:hAnsi="ˎ̥" w:eastAsia="仿宋_GB2312"/>
          <w:sz w:val="32"/>
          <w:szCs w:val="32"/>
          <w:lang w:eastAsia="zh-CN"/>
        </w:rPr>
        <w:t>部分阶段性项目已完成</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77" w:name="_Toc9989_WPSOffice_Level2"/>
      <w:bookmarkStart w:id="78" w:name="_Toc19665_WPSOffice_Level2"/>
      <w:bookmarkStart w:id="79" w:name="_Toc23005_WPSOffice_Level2"/>
      <w:bookmarkStart w:id="80" w:name="_Toc21737_WPSOffice_Level2"/>
      <w:bookmarkStart w:id="81" w:name="_Toc17398_WPSOffice_Level2"/>
      <w:bookmarkStart w:id="82" w:name="_Toc13694_WPSOffice_Level2"/>
      <w:r>
        <w:rPr>
          <w:rFonts w:hint="eastAsia" w:ascii="楷体" w:hAnsi="楷体" w:eastAsia="楷体" w:cs="楷体"/>
          <w:sz w:val="32"/>
          <w:szCs w:val="32"/>
        </w:rPr>
        <w:t>（一）一般公共预算财政拨款支出决算总体情况</w:t>
      </w:r>
      <w:bookmarkEnd w:id="77"/>
      <w:bookmarkEnd w:id="78"/>
      <w:bookmarkEnd w:id="79"/>
      <w:bookmarkEnd w:id="80"/>
      <w:bookmarkEnd w:id="81"/>
      <w:bookmarkEnd w:id="82"/>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sz w:val="32"/>
          <w:szCs w:val="32"/>
          <w:lang w:val="en-US"/>
        </w:rPr>
        <w:t>2024</w:t>
      </w:r>
      <w:r>
        <w:rPr>
          <w:rFonts w:hint="eastAsia" w:ascii="仿宋_GB2312" w:hAnsi="ˎ̥" w:eastAsia="仿宋_GB2312"/>
          <w:sz w:val="32"/>
          <w:szCs w:val="32"/>
        </w:rPr>
        <w:t>年</w:t>
      </w:r>
      <w:r>
        <w:rPr>
          <w:rFonts w:hint="eastAsia" w:ascii="仿宋_GB2312" w:hAnsi="ˎ̥" w:eastAsia="仿宋_GB2312"/>
          <w:color w:val="auto"/>
          <w:sz w:val="32"/>
          <w:szCs w:val="32"/>
        </w:rPr>
        <w:t>度一般公共预算财政拨款支出</w:t>
      </w:r>
      <w:r>
        <w:rPr>
          <w:rFonts w:hint="default" w:ascii="仿宋_GB2312" w:hAnsi="ˎ̥" w:eastAsia="仿宋_GB2312"/>
          <w:color w:val="auto"/>
          <w:sz w:val="32"/>
          <w:szCs w:val="32"/>
          <w:lang w:val="en-US"/>
        </w:rPr>
        <w:t>31,100.73</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w:t>
      </w:r>
      <w:r>
        <w:rPr>
          <w:rFonts w:hint="eastAsia" w:ascii="仿宋_GB2312" w:hAnsi="ˎ̥" w:eastAsia="仿宋_GB2312"/>
          <w:sz w:val="32"/>
          <w:szCs w:val="32"/>
        </w:rPr>
        <w:t>与</w:t>
      </w:r>
      <w:r>
        <w:rPr>
          <w:rFonts w:hint="default" w:ascii="仿宋_GB2312" w:hAnsi="ˎ̥" w:eastAsia="仿宋_GB2312"/>
          <w:sz w:val="32"/>
          <w:szCs w:val="32"/>
          <w:lang w:val="en-US"/>
        </w:rPr>
        <w:t>2023</w:t>
      </w:r>
      <w:r>
        <w:rPr>
          <w:rFonts w:hint="eastAsia" w:ascii="仿宋_GB2312" w:hAnsi="ˎ̥" w:eastAsia="仿宋_GB2312"/>
          <w:sz w:val="32"/>
          <w:szCs w:val="32"/>
        </w:rPr>
        <w:t>年度相比，一般公共预算财政拨款支出减少</w:t>
      </w:r>
      <w:r>
        <w:rPr>
          <w:rFonts w:hint="eastAsia" w:ascii="仿宋_GB2312" w:hAnsi="ˎ̥" w:eastAsia="仿宋_GB2312"/>
          <w:sz w:val="32"/>
          <w:szCs w:val="32"/>
          <w:lang w:val="en-US" w:eastAsia="zh-CN"/>
        </w:rPr>
        <w:t>2,222.85</w:t>
      </w:r>
      <w:r>
        <w:rPr>
          <w:rFonts w:hint="eastAsia" w:ascii="仿宋_GB2312" w:hAnsi="ˎ̥" w:eastAsia="仿宋_GB2312"/>
          <w:sz w:val="32"/>
          <w:szCs w:val="32"/>
        </w:rPr>
        <w:t>万元，下降</w:t>
      </w:r>
      <w:r>
        <w:rPr>
          <w:rFonts w:hint="eastAsia" w:ascii="仿宋_GB2312" w:hAnsi="ˎ̥" w:eastAsia="仿宋_GB2312"/>
          <w:sz w:val="32"/>
          <w:szCs w:val="32"/>
          <w:lang w:val="en-US" w:eastAsia="zh-CN"/>
        </w:rPr>
        <w:t>6.67</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83" w:name="_Toc2711_WPSOffice_Level2"/>
      <w:bookmarkStart w:id="84" w:name="_Toc18793_WPSOffice_Level2"/>
      <w:bookmarkStart w:id="85" w:name="_Toc19535_WPSOffice_Level2"/>
      <w:bookmarkStart w:id="86" w:name="_Toc19075_WPSOffice_Level2"/>
      <w:bookmarkStart w:id="87" w:name="_Toc27767_WPSOffice_Level2"/>
      <w:bookmarkStart w:id="88" w:name="_Toc23864_WPSOffice_Level2"/>
      <w:r>
        <w:rPr>
          <w:rFonts w:hint="eastAsia" w:ascii="楷体" w:hAnsi="楷体" w:eastAsia="楷体" w:cs="楷体"/>
          <w:sz w:val="32"/>
          <w:szCs w:val="32"/>
        </w:rPr>
        <w:t>（二）一般公共预算财政拨款支出决算结构情况</w:t>
      </w:r>
      <w:bookmarkEnd w:id="83"/>
      <w:bookmarkEnd w:id="84"/>
      <w:bookmarkEnd w:id="85"/>
      <w:bookmarkEnd w:id="86"/>
      <w:bookmarkEnd w:id="87"/>
      <w:bookmarkEnd w:id="88"/>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31,100.73</w:t>
      </w:r>
      <w:r>
        <w:rPr>
          <w:rFonts w:hint="eastAsia" w:ascii="仿宋_GB2312" w:hAnsi="ˎ̥" w:eastAsia="仿宋_GB2312"/>
          <w:color w:val="auto"/>
          <w:sz w:val="32"/>
          <w:szCs w:val="32"/>
        </w:rPr>
        <w:t>万元，主要用于以下方面：</w:t>
      </w:r>
      <w:r>
        <w:rPr>
          <w:rFonts w:hint="eastAsia" w:ascii="仿宋_GB2312" w:hAnsi="ˎ̥" w:eastAsia="仿宋_GB2312"/>
          <w:b/>
          <w:color w:val="auto"/>
          <w:sz w:val="32"/>
          <w:szCs w:val="32"/>
        </w:rPr>
        <w:t>一般公共服务（类）</w:t>
      </w:r>
      <w:r>
        <w:rPr>
          <w:rFonts w:hint="eastAsia" w:ascii="仿宋_GB2312" w:hAnsi="ˎ̥" w:eastAsia="仿宋_GB2312"/>
          <w:color w:val="auto"/>
          <w:sz w:val="32"/>
          <w:szCs w:val="32"/>
        </w:rPr>
        <w:t>支出26,082.81万元，占</w:t>
      </w:r>
      <w:r>
        <w:rPr>
          <w:rFonts w:hint="eastAsia" w:ascii="仿宋_GB2312" w:hAnsi="ˎ̥" w:eastAsia="仿宋_GB2312"/>
          <w:color w:val="auto"/>
          <w:sz w:val="32"/>
          <w:szCs w:val="32"/>
          <w:lang w:val="en-US" w:eastAsia="zh-CN"/>
        </w:rPr>
        <w:t>83.87</w:t>
      </w:r>
      <w:r>
        <w:rPr>
          <w:rFonts w:hint="eastAsia" w:ascii="仿宋_GB2312" w:hAnsi="ˎ̥" w:eastAsia="仿宋_GB2312"/>
          <w:color w:val="auto"/>
          <w:sz w:val="32"/>
          <w:szCs w:val="32"/>
        </w:rPr>
        <w:t>%；</w:t>
      </w:r>
      <w:r>
        <w:rPr>
          <w:rFonts w:hint="eastAsia" w:ascii="仿宋_GB2312" w:hAnsi="ˎ̥" w:eastAsia="仿宋_GB2312"/>
          <w:b/>
          <w:color w:val="auto"/>
          <w:sz w:val="32"/>
          <w:szCs w:val="32"/>
        </w:rPr>
        <w:t>社会保障和就业（类）</w:t>
      </w:r>
      <w:r>
        <w:rPr>
          <w:rFonts w:hint="eastAsia" w:ascii="仿宋_GB2312" w:hAnsi="ˎ̥" w:eastAsia="仿宋_GB2312"/>
          <w:color w:val="auto"/>
          <w:sz w:val="32"/>
          <w:szCs w:val="32"/>
        </w:rPr>
        <w:t>支出3,360.12万元，占</w:t>
      </w:r>
      <w:r>
        <w:rPr>
          <w:rFonts w:hint="eastAsia" w:ascii="仿宋_GB2312" w:hAnsi="ˎ̥" w:eastAsia="仿宋_GB2312"/>
          <w:color w:val="auto"/>
          <w:sz w:val="32"/>
          <w:szCs w:val="32"/>
          <w:lang w:val="en-US" w:eastAsia="zh-CN"/>
        </w:rPr>
        <w:t>10.80</w:t>
      </w:r>
      <w:r>
        <w:rPr>
          <w:rFonts w:hint="eastAsia" w:ascii="仿宋_GB2312" w:hAnsi="ˎ̥" w:eastAsia="仿宋_GB2312"/>
          <w:color w:val="auto"/>
          <w:sz w:val="32"/>
          <w:szCs w:val="32"/>
        </w:rPr>
        <w:t>%；</w:t>
      </w:r>
      <w:r>
        <w:rPr>
          <w:rFonts w:hint="eastAsia" w:ascii="仿宋_GB2312" w:hAnsi="ˎ̥" w:eastAsia="仿宋_GB2312"/>
          <w:b/>
          <w:bCs/>
          <w:color w:val="auto"/>
          <w:sz w:val="32"/>
          <w:szCs w:val="32"/>
        </w:rPr>
        <w:t>卫生健康（类）</w:t>
      </w:r>
      <w:r>
        <w:rPr>
          <w:rFonts w:hint="eastAsia" w:ascii="仿宋_GB2312" w:hAnsi="ˎ̥" w:eastAsia="仿宋_GB2312"/>
          <w:color w:val="auto"/>
          <w:sz w:val="32"/>
          <w:szCs w:val="32"/>
        </w:rPr>
        <w:t>支出482.93万元，占</w:t>
      </w:r>
      <w:r>
        <w:rPr>
          <w:rFonts w:hint="eastAsia" w:ascii="仿宋_GB2312" w:hAnsi="ˎ̥" w:eastAsia="仿宋_GB2312"/>
          <w:color w:val="auto"/>
          <w:sz w:val="32"/>
          <w:szCs w:val="32"/>
          <w:lang w:val="en-US" w:eastAsia="zh-CN"/>
        </w:rPr>
        <w:t>1.55</w:t>
      </w:r>
      <w:r>
        <w:rPr>
          <w:rFonts w:hint="eastAsia" w:ascii="仿宋_GB2312" w:hAnsi="ˎ̥" w:eastAsia="仿宋_GB2312"/>
          <w:color w:val="auto"/>
          <w:sz w:val="32"/>
          <w:szCs w:val="32"/>
        </w:rPr>
        <w:t>%；</w:t>
      </w:r>
      <w:r>
        <w:rPr>
          <w:rFonts w:hint="eastAsia" w:ascii="仿宋_GB2312" w:hAnsi="ˎ̥" w:eastAsia="仿宋_GB2312"/>
          <w:b/>
          <w:bCs/>
          <w:color w:val="auto"/>
          <w:sz w:val="32"/>
          <w:szCs w:val="32"/>
        </w:rPr>
        <w:t>农林水</w:t>
      </w:r>
      <w:r>
        <w:rPr>
          <w:rFonts w:hint="eastAsia" w:ascii="仿宋_GB2312" w:hAnsi="ˎ̥" w:eastAsia="仿宋_GB2312"/>
          <w:b/>
          <w:bCs/>
          <w:color w:val="auto"/>
          <w:sz w:val="32"/>
          <w:szCs w:val="32"/>
          <w:lang w:eastAsia="zh-CN"/>
        </w:rPr>
        <w:t>（类）</w:t>
      </w:r>
      <w:r>
        <w:rPr>
          <w:rFonts w:hint="eastAsia" w:ascii="仿宋_GB2312" w:hAnsi="ˎ̥" w:eastAsia="仿宋_GB2312"/>
          <w:b w:val="0"/>
          <w:bCs w:val="0"/>
          <w:color w:val="auto"/>
          <w:sz w:val="32"/>
          <w:szCs w:val="32"/>
        </w:rPr>
        <w:t>支出29.93</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0.10</w:t>
      </w:r>
      <w:r>
        <w:rPr>
          <w:rFonts w:hint="eastAsia" w:ascii="仿宋_GB2312" w:hAnsi="ˎ̥" w:eastAsia="仿宋_GB2312"/>
          <w:color w:val="auto"/>
          <w:sz w:val="32"/>
          <w:szCs w:val="32"/>
        </w:rPr>
        <w:t>%；</w:t>
      </w:r>
      <w:r>
        <w:rPr>
          <w:rFonts w:hint="eastAsia" w:ascii="仿宋_GB2312" w:hAnsi="ˎ̥" w:eastAsia="仿宋_GB2312"/>
          <w:b/>
          <w:bCs/>
          <w:color w:val="auto"/>
          <w:sz w:val="32"/>
          <w:szCs w:val="32"/>
        </w:rPr>
        <w:t>住房保障（类）</w:t>
      </w:r>
      <w:r>
        <w:rPr>
          <w:rFonts w:hint="eastAsia" w:ascii="仿宋_GB2312" w:hAnsi="ˎ̥" w:eastAsia="仿宋_GB2312"/>
          <w:color w:val="auto"/>
          <w:sz w:val="32"/>
          <w:szCs w:val="32"/>
        </w:rPr>
        <w:t>支出1,144.94万元，占</w:t>
      </w:r>
      <w:r>
        <w:rPr>
          <w:rFonts w:hint="eastAsia" w:ascii="仿宋_GB2312" w:hAnsi="ˎ̥" w:eastAsia="仿宋_GB2312"/>
          <w:color w:val="auto"/>
          <w:sz w:val="32"/>
          <w:szCs w:val="32"/>
          <w:lang w:val="en-US" w:eastAsia="zh-CN"/>
        </w:rPr>
        <w:t>3.68</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89" w:name="_Toc22318_WPSOffice_Level2"/>
      <w:bookmarkStart w:id="90" w:name="_Toc25136_WPSOffice_Level2"/>
      <w:bookmarkStart w:id="91" w:name="_Toc9502_WPSOffice_Level2"/>
      <w:bookmarkStart w:id="92" w:name="_Toc15415_WPSOffice_Level2"/>
      <w:bookmarkStart w:id="93" w:name="_Toc21701_WPSOffice_Level2"/>
      <w:bookmarkStart w:id="94" w:name="_Toc29364_WPSOffice_Level2"/>
      <w:r>
        <w:rPr>
          <w:rFonts w:hint="eastAsia" w:ascii="楷体" w:hAnsi="楷体" w:eastAsia="楷体" w:cs="楷体"/>
          <w:sz w:val="32"/>
          <w:szCs w:val="32"/>
        </w:rPr>
        <w:t>（三）一般公共预算财政拨款支出决算具体情况</w:t>
      </w:r>
      <w:bookmarkEnd w:id="89"/>
      <w:bookmarkEnd w:id="90"/>
      <w:bookmarkEnd w:id="91"/>
      <w:bookmarkEnd w:id="92"/>
      <w:bookmarkEnd w:id="93"/>
      <w:bookmarkEnd w:id="94"/>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年度一般公共预算财政拨款支出年初预算为</w:t>
      </w:r>
      <w:r>
        <w:rPr>
          <w:rFonts w:hint="eastAsia" w:ascii="仿宋_GB2312" w:hAnsi="ˎ̥" w:eastAsia="仿宋_GB2312"/>
          <w:color w:val="auto"/>
          <w:sz w:val="32"/>
          <w:szCs w:val="32"/>
          <w:lang w:val="en-US" w:eastAsia="zh-CN"/>
        </w:rPr>
        <w:t>29,065.19</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31,100.73</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107</w:t>
      </w:r>
      <w:r>
        <w:rPr>
          <w:rFonts w:hint="eastAsia" w:ascii="仿宋_GB2312" w:hAnsi="ˎ̥" w:eastAsia="仿宋_GB2312"/>
          <w:color w:val="auto"/>
          <w:sz w:val="32"/>
          <w:szCs w:val="32"/>
        </w:rPr>
        <w:t>%。其中：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1.一般公共服务（类）纪检监察事务（款）行政运行（项）。年初预算为</w:t>
      </w:r>
      <w:r>
        <w:rPr>
          <w:rFonts w:hint="eastAsia" w:ascii="仿宋_GB2312" w:hAnsi="ˎ̥" w:eastAsia="仿宋_GB2312"/>
          <w:sz w:val="32"/>
          <w:szCs w:val="32"/>
          <w:lang w:val="en-US" w:eastAsia="zh-CN"/>
        </w:rPr>
        <w:t>11,638.91</w:t>
      </w:r>
      <w:r>
        <w:rPr>
          <w:rFonts w:hint="eastAsia" w:ascii="仿宋_GB2312" w:hAnsi="ˎ̥" w:eastAsia="仿宋_GB2312"/>
          <w:sz w:val="32"/>
          <w:szCs w:val="32"/>
        </w:rPr>
        <w:t>万元，支出决算为11,757.52万元，完成年初预算的</w:t>
      </w:r>
      <w:r>
        <w:rPr>
          <w:rFonts w:hint="eastAsia" w:ascii="仿宋_GB2312" w:hAnsi="ˎ̥" w:eastAsia="仿宋_GB2312"/>
          <w:sz w:val="32"/>
          <w:szCs w:val="32"/>
          <w:lang w:val="en-US" w:eastAsia="zh-CN"/>
        </w:rPr>
        <w:t>101.02</w:t>
      </w:r>
      <w:r>
        <w:rPr>
          <w:rFonts w:hint="eastAsia" w:ascii="仿宋_GB2312" w:hAnsi="ˎ̥" w:eastAsia="仿宋_GB2312"/>
          <w:sz w:val="32"/>
          <w:szCs w:val="32"/>
        </w:rPr>
        <w:t>%，决算数大于预算数的主要原因是年度内新招录人员及公务员职级晋升工资等支出增加。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2.一般公共服务（类）纪检监察事务（款）一般行政管理事务（项）。年初预算为</w:t>
      </w:r>
      <w:r>
        <w:rPr>
          <w:rFonts w:hint="eastAsia" w:ascii="仿宋_GB2312" w:hAnsi="ˎ̥" w:eastAsia="仿宋_GB2312"/>
          <w:sz w:val="32"/>
          <w:szCs w:val="32"/>
          <w:lang w:val="en-US" w:eastAsia="zh-CN"/>
        </w:rPr>
        <w:t>590.8</w:t>
      </w:r>
      <w:r>
        <w:rPr>
          <w:rFonts w:hint="eastAsia" w:ascii="仿宋_GB2312" w:hAnsi="ˎ̥" w:eastAsia="仿宋_GB2312"/>
          <w:sz w:val="32"/>
          <w:szCs w:val="32"/>
        </w:rPr>
        <w:t>万元，支出决算为2,309.21万元，完成年初预算的</w:t>
      </w:r>
      <w:r>
        <w:rPr>
          <w:rFonts w:hint="eastAsia" w:ascii="仿宋_GB2312" w:hAnsi="ˎ̥" w:eastAsia="仿宋_GB2312"/>
          <w:sz w:val="32"/>
          <w:szCs w:val="32"/>
          <w:lang w:val="en-US" w:eastAsia="zh-CN"/>
        </w:rPr>
        <w:t>3908.62</w:t>
      </w:r>
      <w:r>
        <w:rPr>
          <w:rFonts w:hint="eastAsia" w:ascii="仿宋_GB2312" w:hAnsi="ˎ̥" w:eastAsia="仿宋_GB2312"/>
          <w:sz w:val="32"/>
          <w:szCs w:val="32"/>
        </w:rPr>
        <w:t>%，</w:t>
      </w:r>
      <w:r>
        <w:rPr>
          <w:rFonts w:hint="eastAsia" w:ascii="仿宋_GB2312" w:hAnsi="ˎ̥" w:eastAsia="仿宋_GB2312"/>
          <w:color w:val="auto"/>
          <w:sz w:val="32"/>
          <w:szCs w:val="32"/>
        </w:rPr>
        <w:t>决算数大于预算数的主要原因是省发改委年度内下达省财基建项目资金。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3. 一般公共服务（类）纪检监察事务（款）。年初预算为1,700.00万元，支出决算为1,549.54万元，完成年初预算的</w:t>
      </w:r>
      <w:r>
        <w:rPr>
          <w:rFonts w:hint="eastAsia" w:ascii="仿宋_GB2312" w:hAnsi="ˎ̥" w:eastAsia="仿宋_GB2312"/>
          <w:sz w:val="32"/>
          <w:szCs w:val="32"/>
          <w:lang w:val="en-US" w:eastAsia="zh-CN"/>
        </w:rPr>
        <w:t>91.15</w:t>
      </w:r>
      <w:r>
        <w:rPr>
          <w:rFonts w:hint="eastAsia" w:ascii="仿宋_GB2312" w:hAnsi="ˎ̥" w:eastAsia="仿宋_GB2312"/>
          <w:sz w:val="32"/>
          <w:szCs w:val="32"/>
        </w:rPr>
        <w:t>%，决算数小于预算数的主要原因是压减经费开支。</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4.一般公共服务（类）纪检监察事务（款）事业运行（项）。年初预算为</w:t>
      </w:r>
      <w:r>
        <w:rPr>
          <w:rFonts w:hint="eastAsia" w:ascii="仿宋_GB2312" w:hAnsi="ˎ̥" w:eastAsia="仿宋_GB2312"/>
          <w:sz w:val="32"/>
          <w:szCs w:val="32"/>
          <w:lang w:val="en-US" w:eastAsia="zh-CN"/>
        </w:rPr>
        <w:t>1,253.09</w:t>
      </w:r>
      <w:r>
        <w:rPr>
          <w:rFonts w:hint="eastAsia" w:ascii="仿宋_GB2312" w:hAnsi="ˎ̥" w:eastAsia="仿宋_GB2312"/>
          <w:sz w:val="32"/>
          <w:szCs w:val="32"/>
        </w:rPr>
        <w:t>万元，支出决算为1,282.17万元，完成年初预算的10</w:t>
      </w:r>
      <w:r>
        <w:rPr>
          <w:rFonts w:hint="eastAsia" w:ascii="仿宋_GB2312" w:hAnsi="ˎ̥" w:eastAsia="仿宋_GB2312"/>
          <w:sz w:val="32"/>
          <w:szCs w:val="32"/>
          <w:lang w:val="en-US" w:eastAsia="zh-CN"/>
        </w:rPr>
        <w:t>2.32</w:t>
      </w:r>
      <w:r>
        <w:rPr>
          <w:rFonts w:hint="eastAsia" w:ascii="仿宋_GB2312" w:hAnsi="ˎ̥" w:eastAsia="仿宋_GB2312"/>
          <w:sz w:val="32"/>
          <w:szCs w:val="32"/>
        </w:rPr>
        <w:t>%。决算数大于预算数的主要原因是下属事业单位工作人员职级晋升工资支出增加。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5.一般公共服务（类）纪检监察事务（款）其他纪检监察事务支出（项）。年初预算为</w:t>
      </w:r>
      <w:r>
        <w:rPr>
          <w:rFonts w:hint="eastAsia" w:ascii="仿宋_GB2312" w:hAnsi="ˎ̥" w:eastAsia="仿宋_GB2312"/>
          <w:sz w:val="32"/>
          <w:szCs w:val="32"/>
          <w:lang w:val="en-US" w:eastAsia="zh-CN"/>
        </w:rPr>
        <w:t>8,617.47</w:t>
      </w:r>
      <w:r>
        <w:rPr>
          <w:rFonts w:hint="eastAsia" w:ascii="仿宋_GB2312" w:hAnsi="ˎ̥" w:eastAsia="仿宋_GB2312"/>
          <w:sz w:val="32"/>
          <w:szCs w:val="32"/>
        </w:rPr>
        <w:t>万元，支出决算9,184.37万元，完成年初预算的</w:t>
      </w:r>
      <w:r>
        <w:rPr>
          <w:rFonts w:hint="eastAsia" w:ascii="仿宋_GB2312" w:hAnsi="ˎ̥" w:eastAsia="仿宋_GB2312"/>
          <w:sz w:val="32"/>
          <w:szCs w:val="32"/>
          <w:lang w:val="en-US" w:eastAsia="zh-CN"/>
        </w:rPr>
        <w:t>106.58</w:t>
      </w:r>
      <w:r>
        <w:rPr>
          <w:rFonts w:hint="eastAsia" w:ascii="仿宋_GB2312" w:hAnsi="ˎ̥" w:eastAsia="仿宋_GB2312"/>
          <w:sz w:val="32"/>
          <w:szCs w:val="32"/>
        </w:rPr>
        <w:t>%，决算数</w:t>
      </w:r>
      <w:r>
        <w:rPr>
          <w:rFonts w:hint="eastAsia" w:ascii="仿宋_GB2312" w:hAnsi="ˎ̥" w:eastAsia="仿宋_GB2312"/>
          <w:sz w:val="32"/>
          <w:szCs w:val="32"/>
          <w:lang w:eastAsia="zh-CN"/>
        </w:rPr>
        <w:t>大于</w:t>
      </w:r>
      <w:r>
        <w:rPr>
          <w:rFonts w:hint="eastAsia" w:ascii="仿宋_GB2312" w:hAnsi="ˎ̥" w:eastAsia="仿宋_GB2312"/>
          <w:sz w:val="32"/>
          <w:szCs w:val="32"/>
        </w:rPr>
        <w:t>预算数的主要原因是</w:t>
      </w:r>
      <w:r>
        <w:rPr>
          <w:rFonts w:hint="eastAsia" w:ascii="仿宋_GB2312" w:hAnsi="ˎ̥" w:eastAsia="仿宋_GB2312"/>
          <w:sz w:val="32"/>
          <w:szCs w:val="32"/>
          <w:lang w:eastAsia="zh-CN"/>
        </w:rPr>
        <w:t>年间业务量增加，追加项目经费</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6.社会保障和就业支出（类）行政事业单位养老支出（款）机关事业单位基本养老保险缴费支出（项）。年初预算为</w:t>
      </w:r>
      <w:r>
        <w:rPr>
          <w:rFonts w:hint="eastAsia" w:ascii="仿宋_GB2312" w:hAnsi="ˎ̥" w:eastAsia="仿宋_GB2312"/>
          <w:sz w:val="32"/>
          <w:szCs w:val="32"/>
          <w:lang w:val="en-US" w:eastAsia="zh-CN"/>
        </w:rPr>
        <w:t>1,230.95</w:t>
      </w:r>
      <w:r>
        <w:rPr>
          <w:rFonts w:hint="eastAsia" w:ascii="仿宋_GB2312" w:hAnsi="ˎ̥" w:eastAsia="仿宋_GB2312"/>
          <w:sz w:val="32"/>
          <w:szCs w:val="32"/>
        </w:rPr>
        <w:t>万元，支出决算为1,204.38万元，完成年初预算的</w:t>
      </w:r>
      <w:r>
        <w:rPr>
          <w:rFonts w:hint="eastAsia" w:ascii="仿宋_GB2312" w:hAnsi="ˎ̥" w:eastAsia="仿宋_GB2312"/>
          <w:sz w:val="32"/>
          <w:szCs w:val="32"/>
          <w:lang w:val="en-US" w:eastAsia="zh-CN"/>
        </w:rPr>
        <w:t>97.84</w:t>
      </w:r>
      <w:r>
        <w:rPr>
          <w:rFonts w:hint="eastAsia" w:ascii="仿宋_GB2312" w:hAnsi="ˎ̥" w:eastAsia="仿宋_GB2312"/>
          <w:sz w:val="32"/>
          <w:szCs w:val="32"/>
        </w:rPr>
        <w:t>%，决算数</w:t>
      </w:r>
      <w:r>
        <w:rPr>
          <w:rFonts w:hint="eastAsia" w:ascii="仿宋_GB2312" w:hAnsi="ˎ̥" w:eastAsia="仿宋_GB2312"/>
          <w:sz w:val="32"/>
          <w:szCs w:val="32"/>
          <w:lang w:eastAsia="zh-CN"/>
        </w:rPr>
        <w:t>小于</w:t>
      </w:r>
      <w:r>
        <w:rPr>
          <w:rFonts w:hint="eastAsia" w:ascii="仿宋_GB2312" w:hAnsi="ˎ̥" w:eastAsia="仿宋_GB2312"/>
          <w:sz w:val="32"/>
          <w:szCs w:val="32"/>
        </w:rPr>
        <w:t>预算数的主要原因是</w:t>
      </w:r>
      <w:r>
        <w:rPr>
          <w:rFonts w:hint="eastAsia" w:ascii="仿宋_GB2312" w:hAnsi="ˎ̥" w:eastAsia="仿宋_GB2312"/>
          <w:sz w:val="32"/>
          <w:szCs w:val="32"/>
          <w:lang w:eastAsia="zh-CN"/>
        </w:rPr>
        <w:t>人员变动及</w:t>
      </w:r>
      <w:r>
        <w:rPr>
          <w:rFonts w:hint="eastAsia" w:ascii="仿宋_GB2312" w:hAnsi="ˎ̥" w:eastAsia="仿宋_GB2312"/>
          <w:sz w:val="32"/>
          <w:szCs w:val="32"/>
          <w:lang w:val="en-US" w:eastAsia="zh-CN"/>
        </w:rPr>
        <w:t>2023年补缴以前年度养老保险费。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7.社会保障和就业支出（类）行政事业单位养老支出（款）机关事业单位职业年金缴费支出（项）。年初预算为</w:t>
      </w:r>
      <w:r>
        <w:rPr>
          <w:rFonts w:hint="eastAsia" w:ascii="仿宋_GB2312" w:hAnsi="ˎ̥" w:eastAsia="仿宋_GB2312"/>
          <w:sz w:val="32"/>
          <w:szCs w:val="32"/>
          <w:lang w:val="en-US" w:eastAsia="zh-CN"/>
        </w:rPr>
        <w:t>2,346.05</w:t>
      </w:r>
      <w:r>
        <w:rPr>
          <w:rFonts w:hint="eastAsia" w:ascii="仿宋_GB2312" w:hAnsi="ˎ̥" w:eastAsia="仿宋_GB2312"/>
          <w:sz w:val="32"/>
          <w:szCs w:val="32"/>
        </w:rPr>
        <w:t>万元，支出决算为2,150.08万元，完成年初预算的</w:t>
      </w:r>
      <w:r>
        <w:rPr>
          <w:rFonts w:hint="eastAsia" w:ascii="仿宋_GB2312" w:hAnsi="ˎ̥" w:eastAsia="仿宋_GB2312"/>
          <w:sz w:val="32"/>
          <w:szCs w:val="32"/>
          <w:lang w:val="en-US" w:eastAsia="zh-CN"/>
        </w:rPr>
        <w:t>91.65</w:t>
      </w:r>
      <w:r>
        <w:rPr>
          <w:rFonts w:hint="eastAsia" w:ascii="仿宋_GB2312" w:hAnsi="ˎ̥" w:eastAsia="仿宋_GB2312"/>
          <w:sz w:val="32"/>
          <w:szCs w:val="32"/>
        </w:rPr>
        <w:t>%，决算数</w:t>
      </w:r>
      <w:r>
        <w:rPr>
          <w:rFonts w:hint="eastAsia" w:ascii="仿宋_GB2312" w:hAnsi="ˎ̥" w:eastAsia="仿宋_GB2312"/>
          <w:sz w:val="32"/>
          <w:szCs w:val="32"/>
          <w:lang w:eastAsia="zh-CN"/>
        </w:rPr>
        <w:t>小于</w:t>
      </w:r>
      <w:r>
        <w:rPr>
          <w:rFonts w:hint="eastAsia" w:ascii="仿宋_GB2312" w:hAnsi="ˎ̥" w:eastAsia="仿宋_GB2312"/>
          <w:sz w:val="32"/>
          <w:szCs w:val="32"/>
        </w:rPr>
        <w:t>预算数的主要原因是</w:t>
      </w:r>
      <w:r>
        <w:rPr>
          <w:rFonts w:hint="eastAsia" w:ascii="仿宋_GB2312" w:hAnsi="ˎ̥" w:eastAsia="仿宋_GB2312"/>
          <w:sz w:val="32"/>
          <w:szCs w:val="32"/>
          <w:lang w:eastAsia="zh-CN"/>
        </w:rPr>
        <w:t>人员变动及</w:t>
      </w:r>
      <w:r>
        <w:rPr>
          <w:rFonts w:hint="eastAsia" w:ascii="仿宋_GB2312" w:hAnsi="ˎ̥" w:eastAsia="仿宋_GB2312"/>
          <w:sz w:val="32"/>
          <w:szCs w:val="32"/>
          <w:lang w:val="en-US" w:eastAsia="zh-CN"/>
        </w:rPr>
        <w:t>2023年补缴以前年度职业年金</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8.社会保障和就业支出（类）抚恤（款）其他优抚支出（项）。年初预算为</w:t>
      </w:r>
      <w:r>
        <w:rPr>
          <w:rFonts w:hint="eastAsia" w:ascii="仿宋_GB2312" w:hAnsi="ˎ̥" w:eastAsia="仿宋_GB2312"/>
          <w:sz w:val="32"/>
          <w:szCs w:val="32"/>
          <w:lang w:val="en-US" w:eastAsia="zh-CN"/>
        </w:rPr>
        <w:t>5.25</w:t>
      </w:r>
      <w:r>
        <w:rPr>
          <w:rFonts w:hint="eastAsia" w:ascii="仿宋_GB2312" w:hAnsi="ˎ̥" w:eastAsia="仿宋_GB2312"/>
          <w:sz w:val="32"/>
          <w:szCs w:val="32"/>
        </w:rPr>
        <w:t>万元，支出决算为5.</w:t>
      </w:r>
      <w:r>
        <w:rPr>
          <w:rFonts w:hint="eastAsia" w:ascii="仿宋_GB2312" w:hAnsi="ˎ̥" w:eastAsia="仿宋_GB2312"/>
          <w:sz w:val="32"/>
          <w:szCs w:val="32"/>
          <w:lang w:val="en-US" w:eastAsia="zh-CN"/>
        </w:rPr>
        <w:t>66</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107.81</w:t>
      </w:r>
      <w:r>
        <w:rPr>
          <w:rFonts w:hint="eastAsia" w:ascii="仿宋_GB2312" w:hAnsi="ˎ̥" w:eastAsia="仿宋_GB2312"/>
          <w:sz w:val="32"/>
          <w:szCs w:val="32"/>
        </w:rPr>
        <w:t>%，决算数大于预算数的主要原因是遗属补助标准增加。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9.卫生健康支出（类）行政事业单位医疗（款）行政单位医疗（项）。年初预算为</w:t>
      </w:r>
      <w:r>
        <w:rPr>
          <w:rFonts w:hint="eastAsia" w:ascii="仿宋_GB2312" w:hAnsi="ˎ̥" w:eastAsia="仿宋_GB2312"/>
          <w:sz w:val="32"/>
          <w:szCs w:val="32"/>
          <w:lang w:val="en-US" w:eastAsia="zh-CN"/>
        </w:rPr>
        <w:t>533.44</w:t>
      </w:r>
      <w:r>
        <w:rPr>
          <w:rFonts w:hint="eastAsia" w:ascii="仿宋_GB2312" w:hAnsi="ˎ̥" w:eastAsia="仿宋_GB2312"/>
          <w:sz w:val="32"/>
          <w:szCs w:val="32"/>
        </w:rPr>
        <w:t>万元，支出决算为462.03万元，完成年初预算的</w:t>
      </w:r>
      <w:r>
        <w:rPr>
          <w:rFonts w:hint="eastAsia" w:ascii="仿宋_GB2312" w:hAnsi="ˎ̥" w:eastAsia="仿宋_GB2312"/>
          <w:sz w:val="32"/>
          <w:szCs w:val="32"/>
          <w:lang w:val="en-US" w:eastAsia="zh-CN"/>
        </w:rPr>
        <w:t>86.61</w:t>
      </w:r>
      <w:r>
        <w:rPr>
          <w:rFonts w:hint="eastAsia" w:ascii="仿宋_GB2312" w:hAnsi="ˎ̥" w:eastAsia="仿宋_GB2312"/>
          <w:sz w:val="32"/>
          <w:szCs w:val="32"/>
        </w:rPr>
        <w:t>%，决算数</w:t>
      </w:r>
      <w:r>
        <w:rPr>
          <w:rFonts w:hint="eastAsia" w:ascii="仿宋_GB2312" w:hAnsi="ˎ̥" w:eastAsia="仿宋_GB2312"/>
          <w:sz w:val="32"/>
          <w:szCs w:val="32"/>
          <w:lang w:eastAsia="zh-CN"/>
        </w:rPr>
        <w:t>小于</w:t>
      </w:r>
      <w:r>
        <w:rPr>
          <w:rFonts w:hint="eastAsia" w:ascii="仿宋_GB2312" w:hAnsi="ˎ̥" w:eastAsia="仿宋_GB2312"/>
          <w:sz w:val="32"/>
          <w:szCs w:val="32"/>
        </w:rPr>
        <w:t>预算数的主要原因是</w:t>
      </w:r>
      <w:r>
        <w:rPr>
          <w:rFonts w:hint="eastAsia" w:ascii="仿宋_GB2312" w:hAnsi="ˎ̥" w:eastAsia="仿宋_GB2312"/>
          <w:sz w:val="32"/>
          <w:szCs w:val="32"/>
          <w:lang w:eastAsia="zh-CN"/>
        </w:rPr>
        <w:t>人员变动及</w:t>
      </w:r>
      <w:r>
        <w:rPr>
          <w:rFonts w:hint="eastAsia" w:ascii="仿宋_GB2312" w:hAnsi="ˎ̥" w:eastAsia="仿宋_GB2312"/>
          <w:sz w:val="32"/>
          <w:szCs w:val="32"/>
          <w:lang w:val="en-US" w:eastAsia="zh-CN"/>
        </w:rPr>
        <w:t>2023年补缴以前年度委机关医疗保险费</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10.卫生健康支出（类）行政事业单位医疗（款）事业单位医疗（项）。年初预算为</w:t>
      </w:r>
      <w:r>
        <w:rPr>
          <w:rFonts w:hint="eastAsia" w:ascii="仿宋_GB2312" w:hAnsi="ˎ̥" w:eastAsia="仿宋_GB2312"/>
          <w:sz w:val="32"/>
          <w:szCs w:val="32"/>
          <w:lang w:val="en-US" w:eastAsia="zh-CN"/>
        </w:rPr>
        <w:t>23.54</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20.90</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88.79</w:t>
      </w:r>
      <w:r>
        <w:rPr>
          <w:rFonts w:hint="eastAsia" w:ascii="仿宋_GB2312" w:hAnsi="ˎ̥" w:eastAsia="仿宋_GB2312"/>
          <w:sz w:val="32"/>
          <w:szCs w:val="32"/>
        </w:rPr>
        <w:t>%，决算数</w:t>
      </w:r>
      <w:r>
        <w:rPr>
          <w:rFonts w:hint="eastAsia" w:ascii="仿宋_GB2312" w:hAnsi="ˎ̥" w:eastAsia="仿宋_GB2312"/>
          <w:sz w:val="32"/>
          <w:szCs w:val="32"/>
          <w:lang w:eastAsia="zh-CN"/>
        </w:rPr>
        <w:t>小于</w:t>
      </w:r>
      <w:r>
        <w:rPr>
          <w:rFonts w:hint="eastAsia" w:ascii="仿宋_GB2312" w:hAnsi="ˎ̥" w:eastAsia="仿宋_GB2312"/>
          <w:sz w:val="32"/>
          <w:szCs w:val="32"/>
        </w:rPr>
        <w:t>预算数的主要原因是</w:t>
      </w:r>
      <w:r>
        <w:rPr>
          <w:rFonts w:hint="eastAsia" w:ascii="仿宋_GB2312" w:hAnsi="ˎ̥" w:eastAsia="仿宋_GB2312"/>
          <w:sz w:val="32"/>
          <w:szCs w:val="32"/>
          <w:lang w:eastAsia="zh-CN"/>
        </w:rPr>
        <w:t>人员变动及</w:t>
      </w:r>
      <w:r>
        <w:rPr>
          <w:rFonts w:hint="eastAsia" w:ascii="仿宋_GB2312" w:hAnsi="ˎ̥" w:eastAsia="仿宋_GB2312"/>
          <w:sz w:val="32"/>
          <w:szCs w:val="32"/>
          <w:lang w:val="en-US" w:eastAsia="zh-CN"/>
        </w:rPr>
        <w:t>2023年补缴以前年度下属事业单位医疗保险</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lang w:val="en-US" w:eastAsia="zh-CN"/>
        </w:rPr>
      </w:pPr>
      <w:r>
        <w:rPr>
          <w:rFonts w:hint="eastAsia" w:ascii="仿宋_GB2312" w:hAnsi="ˎ̥" w:eastAsia="仿宋_GB2312"/>
          <w:sz w:val="32"/>
          <w:szCs w:val="32"/>
          <w:lang w:val="en-US" w:eastAsia="zh-CN"/>
        </w:rPr>
        <w:t>11.</w:t>
      </w:r>
      <w:r>
        <w:rPr>
          <w:rFonts w:hint="eastAsia" w:ascii="仿宋_GB2312" w:hAnsi="ˎ̥" w:eastAsia="仿宋_GB2312"/>
          <w:sz w:val="32"/>
          <w:szCs w:val="32"/>
        </w:rPr>
        <w:t>农林水支出（类）巩固脱贫攻坚成果衔接乡村振兴（款）其他巩固脱贫攻坚成果衔接乡村振兴支出（项）。支出决算为</w:t>
      </w:r>
      <w:r>
        <w:rPr>
          <w:rFonts w:hint="eastAsia" w:ascii="仿宋_GB2312" w:hAnsi="ˎ̥" w:eastAsia="仿宋_GB2312"/>
          <w:sz w:val="32"/>
          <w:szCs w:val="32"/>
          <w:lang w:val="en-US" w:eastAsia="zh-CN"/>
        </w:rPr>
        <w:t>29.93</w:t>
      </w:r>
      <w:r>
        <w:rPr>
          <w:rFonts w:hint="eastAsia" w:ascii="仿宋_GB2312" w:hAnsi="ˎ̥" w:eastAsia="仿宋_GB2312"/>
          <w:sz w:val="32"/>
          <w:szCs w:val="32"/>
        </w:rPr>
        <w:t>万元，</w:t>
      </w:r>
      <w:r>
        <w:rPr>
          <w:rFonts w:hint="eastAsia" w:ascii="仿宋_GB2312" w:hAnsi="ˎ̥" w:eastAsia="仿宋_GB2312"/>
          <w:sz w:val="32"/>
          <w:szCs w:val="32"/>
          <w:lang w:eastAsia="zh-CN"/>
        </w:rPr>
        <w:t>年间追加预算，定点帮扶乡村产业发展。</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sz w:val="32"/>
          <w:szCs w:val="32"/>
        </w:rPr>
        <w:t>1</w:t>
      </w:r>
      <w:r>
        <w:rPr>
          <w:rFonts w:hint="eastAsia" w:ascii="仿宋_GB2312" w:hAnsi="ˎ̥" w:eastAsia="仿宋_GB2312"/>
          <w:sz w:val="32"/>
          <w:szCs w:val="32"/>
          <w:lang w:val="en-US" w:eastAsia="zh-CN"/>
        </w:rPr>
        <w:t>2</w:t>
      </w:r>
      <w:r>
        <w:rPr>
          <w:rFonts w:hint="eastAsia" w:ascii="仿宋_GB2312" w:hAnsi="ˎ̥" w:eastAsia="仿宋_GB2312"/>
          <w:sz w:val="32"/>
          <w:szCs w:val="32"/>
        </w:rPr>
        <w:t>.住房保障支出（类）住房改革支出（款）住房公积金（项）。年初预算为</w:t>
      </w:r>
      <w:r>
        <w:rPr>
          <w:rFonts w:hint="eastAsia" w:ascii="仿宋_GB2312" w:hAnsi="ˎ̥" w:eastAsia="仿宋_GB2312"/>
          <w:sz w:val="32"/>
          <w:szCs w:val="32"/>
          <w:lang w:val="en-US" w:eastAsia="zh-CN"/>
        </w:rPr>
        <w:t>1,110.67</w:t>
      </w:r>
      <w:r>
        <w:rPr>
          <w:rFonts w:hint="eastAsia" w:ascii="仿宋_GB2312" w:hAnsi="ˎ̥" w:eastAsia="仿宋_GB2312"/>
          <w:sz w:val="32"/>
          <w:szCs w:val="32"/>
        </w:rPr>
        <w:t>万元，支出决算为1,131.51万元，完成年初预算的</w:t>
      </w:r>
      <w:r>
        <w:rPr>
          <w:rFonts w:hint="eastAsia" w:ascii="仿宋_GB2312" w:hAnsi="ˎ̥" w:eastAsia="仿宋_GB2312"/>
          <w:sz w:val="32"/>
          <w:szCs w:val="32"/>
          <w:lang w:val="en-US" w:eastAsia="zh-CN"/>
        </w:rPr>
        <w:t>101.88</w:t>
      </w:r>
      <w:r>
        <w:rPr>
          <w:rFonts w:hint="eastAsia" w:ascii="仿宋_GB2312" w:hAnsi="ˎ̥" w:eastAsia="仿宋_GB2312"/>
          <w:sz w:val="32"/>
          <w:szCs w:val="32"/>
        </w:rPr>
        <w:t>%。决算数大于预算数的主要原</w:t>
      </w:r>
      <w:r>
        <w:rPr>
          <w:rFonts w:hint="eastAsia" w:ascii="仿宋_GB2312" w:hAnsi="ˎ̥" w:eastAsia="仿宋_GB2312"/>
          <w:color w:val="auto"/>
          <w:sz w:val="32"/>
          <w:szCs w:val="32"/>
        </w:rPr>
        <w:t>因</w:t>
      </w:r>
      <w:r>
        <w:rPr>
          <w:rFonts w:hint="eastAsia" w:ascii="仿宋_GB2312" w:hAnsi="ˎ̥" w:eastAsia="仿宋_GB2312"/>
          <w:color w:val="auto"/>
          <w:sz w:val="32"/>
          <w:szCs w:val="32"/>
          <w:lang w:eastAsia="zh-CN"/>
        </w:rPr>
        <w:t>人员变动及住房公积金基数调整</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1</w:t>
      </w:r>
      <w:r>
        <w:rPr>
          <w:rFonts w:hint="eastAsia" w:ascii="仿宋_GB2312" w:hAnsi="ˎ̥" w:eastAsia="仿宋_GB2312"/>
          <w:sz w:val="32"/>
          <w:szCs w:val="32"/>
          <w:lang w:val="en-US" w:eastAsia="zh-CN"/>
        </w:rPr>
        <w:t>3</w:t>
      </w:r>
      <w:r>
        <w:rPr>
          <w:rFonts w:hint="eastAsia" w:ascii="仿宋_GB2312" w:hAnsi="ˎ̥" w:eastAsia="仿宋_GB2312"/>
          <w:sz w:val="32"/>
          <w:szCs w:val="32"/>
        </w:rPr>
        <w:t>.住房保障支出（类）住房改革支（款）出购房补贴（项）。年初预算为</w:t>
      </w:r>
      <w:r>
        <w:rPr>
          <w:rFonts w:hint="eastAsia" w:ascii="仿宋_GB2312" w:hAnsi="ˎ̥" w:eastAsia="仿宋_GB2312"/>
          <w:sz w:val="32"/>
          <w:szCs w:val="32"/>
          <w:lang w:val="en-US" w:eastAsia="zh-CN"/>
        </w:rPr>
        <w:t>15.01</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13.43</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89.47</w:t>
      </w:r>
      <w:r>
        <w:rPr>
          <w:rFonts w:hint="eastAsia" w:ascii="仿宋_GB2312" w:hAnsi="ˎ̥" w:eastAsia="仿宋_GB2312"/>
          <w:sz w:val="32"/>
          <w:szCs w:val="32"/>
        </w:rPr>
        <w:t>%，决算数小于预算数的主要原因是年间领取购房补贴人员减少。</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年度财政拨款基本支出</w:t>
      </w:r>
      <w:r>
        <w:rPr>
          <w:rFonts w:hint="eastAsia" w:ascii="仿宋_GB2312" w:hAnsi="ˎ̥" w:eastAsia="仿宋_GB2312"/>
          <w:color w:val="auto"/>
          <w:sz w:val="32"/>
          <w:szCs w:val="32"/>
          <w:lang w:val="en-US" w:eastAsia="zh-CN"/>
        </w:rPr>
        <w:t>18,027.67</w:t>
      </w:r>
      <w:r>
        <w:rPr>
          <w:rFonts w:hint="eastAsia" w:ascii="仿宋_GB2312" w:hAnsi="ˎ̥" w:eastAsia="仿宋_GB2312"/>
          <w:color w:val="auto"/>
          <w:sz w:val="32"/>
          <w:szCs w:val="32"/>
        </w:rPr>
        <w:t>万元，其中：人员经费</w:t>
      </w:r>
      <w:r>
        <w:rPr>
          <w:rFonts w:ascii="仿宋_GB2312" w:hAnsi="ˎ̥" w:eastAsia="仿宋_GB2312"/>
          <w:color w:val="auto"/>
          <w:sz w:val="32"/>
          <w:szCs w:val="32"/>
          <w:lang w:val="en-US"/>
        </w:rPr>
        <w:t>14,532.60</w:t>
      </w:r>
      <w:r>
        <w:rPr>
          <w:rFonts w:hint="eastAsia" w:ascii="仿宋_GB2312" w:hAnsi="ˎ̥" w:eastAsia="仿宋_GB2312"/>
          <w:color w:val="auto"/>
          <w:sz w:val="32"/>
          <w:szCs w:val="32"/>
        </w:rPr>
        <w:t>万元，</w:t>
      </w:r>
      <w:r>
        <w:rPr>
          <w:rFonts w:hint="eastAsia" w:ascii="仿宋_GB2312" w:hAnsi="ˎ̥" w:eastAsia="仿宋_GB2312"/>
          <w:sz w:val="32"/>
          <w:szCs w:val="32"/>
        </w:rPr>
        <w:t>主要包括：工资福利支出中的基本工资、津贴补贴、奖金、绩效工资、机关事业单位基本养老保险缴费、职业年金缴费、职工基本医疗保险缴费、其他社会保障缴费、住房公积金、医疗费、其他工资福利支出；对个人和家庭的补助中的生活补助、救济费、奖励金、其他对个人和家庭的补助。公用经</w:t>
      </w:r>
      <w:r>
        <w:rPr>
          <w:rFonts w:hint="eastAsia" w:ascii="仿宋_GB2312" w:hAnsi="ˎ̥" w:eastAsia="仿宋_GB2312"/>
          <w:color w:val="auto"/>
          <w:sz w:val="32"/>
          <w:szCs w:val="32"/>
        </w:rPr>
        <w:t>费</w:t>
      </w:r>
      <w:r>
        <w:rPr>
          <w:rFonts w:ascii="仿宋_GB2312" w:hAnsi="ˎ̥" w:eastAsia="仿宋_GB2312"/>
          <w:color w:val="auto"/>
          <w:sz w:val="32"/>
          <w:szCs w:val="32"/>
          <w:lang w:val="en-US"/>
        </w:rPr>
        <w:t>3,495.07</w:t>
      </w:r>
      <w:r>
        <w:rPr>
          <w:rFonts w:hint="eastAsia" w:ascii="仿宋_GB2312" w:hAnsi="ˎ̥" w:eastAsia="仿宋_GB2312"/>
          <w:color w:val="auto"/>
          <w:sz w:val="32"/>
          <w:szCs w:val="32"/>
        </w:rPr>
        <w:t>万元，主要</w:t>
      </w:r>
      <w:r>
        <w:rPr>
          <w:rFonts w:hint="eastAsia" w:ascii="仿宋_GB2312" w:hAnsi="ˎ̥" w:eastAsia="仿宋_GB2312"/>
          <w:sz w:val="32"/>
          <w:szCs w:val="32"/>
        </w:rPr>
        <w:t>包括：商品和服务支出中的办公费、印刷费、咨询费、手续费、水费、电费、邮电费、物业管理费、差旅费、维修（护）费、租赁费、会议费、培训费、公务接待费、专用材料费、专用燃料费、劳务费、委托业务费、工会经费、公务用车运行维护费、其他交通费用、税金及附加费用、其他商品和服务支出；资本性支出中的办公设备购置。</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海南省纪委监委部门202</w:t>
      </w:r>
      <w:r>
        <w:rPr>
          <w:rFonts w:hint="eastAsia" w:ascii="仿宋_GB2312" w:hAnsi="ˎ̥" w:eastAsia="仿宋_GB2312"/>
          <w:sz w:val="32"/>
          <w:szCs w:val="32"/>
          <w:lang w:val="en-US" w:eastAsia="zh-CN"/>
        </w:rPr>
        <w:t>4</w:t>
      </w:r>
      <w:r>
        <w:rPr>
          <w:rFonts w:hint="eastAsia" w:ascii="仿宋_GB2312" w:hAnsi="ˎ̥" w:eastAsia="仿宋_GB2312"/>
          <w:sz w:val="32"/>
          <w:szCs w:val="32"/>
        </w:rPr>
        <w:t>年度无政府性基金预算财政拨款支出。</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海南省纪委监委部门202</w:t>
      </w:r>
      <w:r>
        <w:rPr>
          <w:rFonts w:hint="eastAsia" w:ascii="仿宋_GB2312" w:hAnsi="ˎ̥" w:eastAsia="仿宋_GB2312"/>
          <w:sz w:val="32"/>
          <w:szCs w:val="32"/>
          <w:lang w:val="en-US" w:eastAsia="zh-CN"/>
        </w:rPr>
        <w:t>4</w:t>
      </w:r>
      <w:r>
        <w:rPr>
          <w:rFonts w:hint="eastAsia" w:ascii="仿宋_GB2312" w:hAnsi="ˎ̥" w:eastAsia="仿宋_GB2312"/>
          <w:sz w:val="32"/>
          <w:szCs w:val="32"/>
        </w:rPr>
        <w:t>年度无国有资本经营预算财政拨款支出。</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sz w:val="32"/>
          <w:szCs w:val="32"/>
        </w:rPr>
      </w:pPr>
      <w:r>
        <w:rPr>
          <w:rFonts w:hint="eastAsia" w:ascii="黑体" w:hAnsi="黑体" w:eastAsia="黑体" w:cs="黑体"/>
          <w:bCs/>
          <w:sz w:val="32"/>
          <w:szCs w:val="32"/>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（一）财政拨款“三公”经费支出决算总体情况说明</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sz w:val="32"/>
          <w:szCs w:val="32"/>
        </w:rPr>
      </w:pPr>
      <w:r>
        <w:rPr>
          <w:rFonts w:hint="eastAsia" w:ascii="仿宋_GB2312" w:hAnsi="ˎ̥" w:eastAsia="仿宋_GB2312"/>
          <w:sz w:val="32"/>
          <w:szCs w:val="32"/>
        </w:rPr>
        <w:t xml:space="preserve">    </w:t>
      </w:r>
      <w:r>
        <w:rPr>
          <w:rFonts w:hint="default" w:ascii="仿宋_GB2312" w:hAnsi="ˎ̥" w:eastAsia="仿宋_GB2312"/>
          <w:sz w:val="32"/>
          <w:szCs w:val="32"/>
          <w:lang w:val="en-US"/>
        </w:rPr>
        <w:t>2024</w:t>
      </w:r>
      <w:r>
        <w:rPr>
          <w:rFonts w:hint="eastAsia" w:ascii="仿宋_GB2312" w:hAnsi="ˎ̥" w:eastAsia="仿宋_GB2312"/>
          <w:sz w:val="32"/>
          <w:szCs w:val="32"/>
        </w:rPr>
        <w:t>年度</w:t>
      </w:r>
      <w:r>
        <w:rPr>
          <w:rFonts w:hint="eastAsia" w:ascii="仿宋_GB2312" w:hAnsi="ˎ̥" w:eastAsia="仿宋_GB2312"/>
          <w:color w:val="auto"/>
          <w:sz w:val="32"/>
          <w:szCs w:val="32"/>
        </w:rPr>
        <w:t>财政拨款“三公”经费支出预算为</w:t>
      </w:r>
      <w:r>
        <w:rPr>
          <w:rFonts w:hint="default" w:ascii="仿宋_GB2312" w:hAnsi="ˎ̥" w:eastAsia="仿宋_GB2312"/>
          <w:color w:val="auto"/>
          <w:sz w:val="32"/>
          <w:szCs w:val="32"/>
          <w:lang w:val="en-US"/>
        </w:rPr>
        <w:t>298.99</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298.87</w:t>
      </w:r>
      <w:r>
        <w:rPr>
          <w:rFonts w:hint="eastAsia" w:ascii="仿宋_GB2312" w:hAnsi="ˎ̥" w:eastAsia="仿宋_GB2312"/>
          <w:color w:val="auto"/>
          <w:sz w:val="32"/>
          <w:szCs w:val="32"/>
        </w:rPr>
        <w:t>万元，完成预算的</w:t>
      </w:r>
      <w:r>
        <w:rPr>
          <w:rFonts w:hint="eastAsia" w:ascii="仿宋_GB2312" w:hAnsi="ˎ̥" w:eastAsia="仿宋_GB2312"/>
          <w:color w:val="auto"/>
          <w:sz w:val="32"/>
          <w:szCs w:val="32"/>
          <w:lang w:val="en-US" w:eastAsia="zh-CN"/>
        </w:rPr>
        <w:t>99.96</w:t>
      </w:r>
      <w:r>
        <w:rPr>
          <w:rFonts w:hint="eastAsia" w:ascii="仿宋_GB2312" w:hAnsi="ˎ̥" w:eastAsia="仿宋_GB2312"/>
          <w:color w:val="auto"/>
          <w:sz w:val="32"/>
          <w:szCs w:val="32"/>
        </w:rPr>
        <w:t>%，</w:t>
      </w:r>
      <w:r>
        <w:rPr>
          <w:rFonts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w:t>
      </w:r>
      <w:r>
        <w:rPr>
          <w:rFonts w:hint="eastAsia" w:ascii="仿宋_GB2312" w:hAnsi="ˎ̥" w:eastAsia="仿宋_GB2312"/>
          <w:sz w:val="32"/>
          <w:szCs w:val="32"/>
        </w:rPr>
        <w:t>度</w:t>
      </w:r>
      <w:r>
        <w:rPr>
          <w:rFonts w:ascii="仿宋_GB2312" w:hAnsi="ˎ̥" w:eastAsia="仿宋_GB2312"/>
          <w:sz w:val="32"/>
          <w:szCs w:val="32"/>
        </w:rPr>
        <w:t>相比，</w:t>
      </w:r>
      <w:r>
        <w:rPr>
          <w:rFonts w:hint="eastAsia" w:ascii="仿宋_GB2312" w:hAnsi="ˎ̥" w:eastAsia="仿宋_GB2312"/>
          <w:sz w:val="32"/>
          <w:szCs w:val="32"/>
        </w:rPr>
        <w:t>“三公”经费支出增加</w:t>
      </w:r>
      <w:r>
        <w:rPr>
          <w:rFonts w:hint="eastAsia" w:ascii="仿宋_GB2312" w:hAnsi="ˎ̥" w:eastAsia="仿宋_GB2312"/>
          <w:sz w:val="32"/>
          <w:szCs w:val="32"/>
          <w:lang w:val="en-US" w:eastAsia="zh-CN"/>
        </w:rPr>
        <w:t>40.21</w:t>
      </w:r>
      <w:r>
        <w:rPr>
          <w:rFonts w:hint="eastAsia" w:ascii="仿宋_GB2312" w:hAnsi="ˎ̥" w:eastAsia="仿宋_GB2312"/>
          <w:sz w:val="32"/>
          <w:szCs w:val="32"/>
        </w:rPr>
        <w:t>万元</w:t>
      </w:r>
      <w:r>
        <w:rPr>
          <w:rFonts w:ascii="仿宋_GB2312" w:hAnsi="ˎ̥" w:eastAsia="仿宋_GB2312"/>
          <w:sz w:val="32"/>
          <w:szCs w:val="32"/>
        </w:rPr>
        <w:t>，增长</w:t>
      </w:r>
      <w:r>
        <w:rPr>
          <w:rFonts w:hint="eastAsia" w:ascii="仿宋_GB2312" w:hAnsi="ˎ̥" w:eastAsia="仿宋_GB2312"/>
          <w:sz w:val="32"/>
          <w:szCs w:val="32"/>
          <w:lang w:val="en-US" w:eastAsia="zh-CN"/>
        </w:rPr>
        <w:t>15.55</w:t>
      </w:r>
      <w:r>
        <w:rPr>
          <w:rFonts w:hint="eastAsia" w:ascii="仿宋_GB2312" w:hAnsi="ˎ̥" w:eastAsia="仿宋_GB2312"/>
          <w:sz w:val="32"/>
          <w:szCs w:val="32"/>
        </w:rPr>
        <w:t>%，</w:t>
      </w:r>
      <w:r>
        <w:rPr>
          <w:rFonts w:ascii="仿宋_GB2312" w:hAnsi="ˎ̥" w:eastAsia="仿宋_GB2312"/>
          <w:sz w:val="32"/>
          <w:szCs w:val="32"/>
        </w:rPr>
        <w:t>主要原因</w:t>
      </w:r>
      <w:r>
        <w:rPr>
          <w:rFonts w:ascii="仿宋_GB2312" w:hAnsi="ˎ̥" w:eastAsia="仿宋_GB2312"/>
          <w:color w:val="auto"/>
          <w:sz w:val="32"/>
          <w:szCs w:val="32"/>
        </w:rPr>
        <w:t>是</w:t>
      </w:r>
      <w:r>
        <w:rPr>
          <w:rFonts w:hint="eastAsia" w:ascii="仿宋_GB2312" w:hAnsi="ˎ̥" w:eastAsia="仿宋_GB2312"/>
          <w:color w:val="auto"/>
          <w:sz w:val="32"/>
          <w:szCs w:val="32"/>
          <w:lang w:eastAsia="zh-CN"/>
        </w:rPr>
        <w:t>业务工作量增加，车辆年久老化</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sz w:val="32"/>
          <w:szCs w:val="32"/>
        </w:rPr>
      </w:pPr>
      <w:r>
        <w:rPr>
          <w:rFonts w:hint="eastAsia" w:ascii="楷体" w:hAnsi="楷体" w:eastAsia="楷体" w:cs="楷体"/>
          <w:b/>
          <w:bCs/>
          <w:sz w:val="32"/>
          <w:szCs w:val="32"/>
        </w:rPr>
        <w:t xml:space="preserve">   </w:t>
      </w:r>
      <w:r>
        <w:rPr>
          <w:rFonts w:hint="eastAsia" w:ascii="楷体" w:hAnsi="楷体" w:eastAsia="楷体" w:cs="楷体"/>
          <w:sz w:val="32"/>
          <w:szCs w:val="32"/>
        </w:rPr>
        <w:t xml:space="preserve"> （二）财政拨款“三公”经费支出决算具体情况说明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年度财政拨款“三公”经费支出决算中，公务用车购置及运行维护费支出决算</w:t>
      </w:r>
      <w:r>
        <w:rPr>
          <w:rFonts w:hint="default" w:ascii="仿宋_GB2312" w:hAnsi="ˎ̥" w:eastAsia="仿宋_GB2312"/>
          <w:color w:val="auto"/>
          <w:sz w:val="32"/>
          <w:szCs w:val="32"/>
          <w:lang w:val="en-US"/>
        </w:rPr>
        <w:t>295.55</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98.89</w:t>
      </w:r>
      <w:r>
        <w:rPr>
          <w:rFonts w:hint="eastAsia" w:ascii="仿宋_GB2312" w:hAnsi="ˎ̥" w:eastAsia="仿宋_GB2312"/>
          <w:color w:val="auto"/>
          <w:sz w:val="32"/>
          <w:szCs w:val="32"/>
        </w:rPr>
        <w:t>%；公务接待费支出决算</w:t>
      </w:r>
      <w:r>
        <w:rPr>
          <w:rFonts w:hint="default" w:ascii="仿宋_GB2312" w:hAnsi="ˎ̥" w:eastAsia="仿宋_GB2312"/>
          <w:color w:val="auto"/>
          <w:sz w:val="32"/>
          <w:szCs w:val="32"/>
          <w:lang w:val="en-US"/>
        </w:rPr>
        <w:t>3.32</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1.11</w:t>
      </w:r>
      <w:r>
        <w:rPr>
          <w:rFonts w:hint="eastAsia" w:ascii="仿宋_GB2312" w:hAnsi="ˎ̥" w:eastAsia="仿宋_GB2312"/>
          <w:color w:val="auto"/>
          <w:sz w:val="32"/>
          <w:szCs w:val="32"/>
        </w:rPr>
        <w:t>%。具体情况如下：</w:t>
      </w:r>
    </w:p>
    <w:p>
      <w:pPr>
        <w:keepNext w:val="0"/>
        <w:keepLines w:val="0"/>
        <w:pageBreakBefore w:val="0"/>
        <w:widowControl w:val="0"/>
        <w:kinsoku/>
        <w:wordWrap/>
        <w:overflowPunct/>
        <w:topLinePunct w:val="0"/>
        <w:autoSpaceDE/>
        <w:autoSpaceDN/>
        <w:bidi w:val="0"/>
        <w:adjustRightInd/>
        <w:snapToGrid/>
        <w:spacing w:line="578" w:lineRule="exact"/>
        <w:ind w:firstLine="642"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1.公务用车购置及运行维护费</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295.55</w:t>
      </w:r>
      <w:r>
        <w:rPr>
          <w:rFonts w:hint="eastAsia" w:ascii="仿宋_GB2312" w:hAnsi="ˎ̥" w:eastAsia="仿宋_GB2312"/>
          <w:color w:val="auto"/>
          <w:sz w:val="32"/>
          <w:szCs w:val="32"/>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2"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公务用车运行维护费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295.55</w:t>
      </w:r>
      <w:r>
        <w:rPr>
          <w:rFonts w:hint="eastAsia" w:ascii="仿宋_GB2312" w:hAnsi="ˎ̥" w:eastAsia="仿宋_GB2312"/>
          <w:color w:val="auto"/>
          <w:sz w:val="32"/>
          <w:szCs w:val="32"/>
        </w:rPr>
        <w:t>万元，主要用于车辆燃油费、维修费等。</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Cs/>
          <w:color w:val="auto"/>
          <w:sz w:val="32"/>
          <w:szCs w:val="32"/>
        </w:rPr>
      </w:pPr>
      <w:r>
        <w:rPr>
          <w:rFonts w:hint="eastAsia" w:ascii="仿宋_GB2312" w:hAnsi="ˎ̥" w:eastAsia="仿宋_GB2312"/>
          <w:bCs/>
          <w:color w:val="auto"/>
          <w:sz w:val="32"/>
          <w:szCs w:val="32"/>
        </w:rPr>
        <w:t>公务用车购置及运行维护费支出决算数</w:t>
      </w:r>
      <w:r>
        <w:rPr>
          <w:rFonts w:hint="eastAsia" w:ascii="仿宋_GB2312" w:hAnsi="ˎ̥" w:eastAsia="仿宋_GB2312"/>
          <w:color w:val="auto"/>
          <w:sz w:val="32"/>
          <w:szCs w:val="32"/>
        </w:rPr>
        <w:t>比预算数减少</w:t>
      </w:r>
      <w:r>
        <w:rPr>
          <w:rFonts w:hint="eastAsia" w:ascii="仿宋_GB2312" w:hAnsi="ˎ̥" w:eastAsia="仿宋_GB2312"/>
          <w:color w:val="auto"/>
          <w:sz w:val="32"/>
          <w:szCs w:val="32"/>
          <w:lang w:val="en-US" w:eastAsia="zh-CN"/>
        </w:rPr>
        <w:t>0.12</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完成预算的99.96</w:t>
      </w:r>
      <w:r>
        <w:rPr>
          <w:rFonts w:hint="eastAsia" w:ascii="仿宋_GB2312" w:hAnsi="ˎ̥" w:eastAsia="仿宋_GB2312"/>
          <w:color w:val="auto"/>
          <w:sz w:val="32"/>
          <w:szCs w:val="32"/>
        </w:rPr>
        <w:t>%</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公务用车购置及运行维护费</w:t>
      </w:r>
      <w:r>
        <w:rPr>
          <w:rFonts w:hint="eastAsia" w:ascii="仿宋_GB2312" w:hAnsi="ˎ̥" w:eastAsia="仿宋_GB2312"/>
          <w:color w:val="auto"/>
          <w:sz w:val="32"/>
          <w:szCs w:val="32"/>
        </w:rPr>
        <w:t>支出增加</w:t>
      </w:r>
      <w:r>
        <w:rPr>
          <w:rFonts w:hint="eastAsia" w:ascii="仿宋_GB2312" w:hAnsi="ˎ̥" w:eastAsia="仿宋_GB2312"/>
          <w:color w:val="auto"/>
          <w:sz w:val="32"/>
          <w:szCs w:val="32"/>
          <w:lang w:val="en-US" w:eastAsia="zh-CN"/>
        </w:rPr>
        <w:t>88.08</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lang w:val="en-US" w:eastAsia="zh-CN"/>
        </w:rPr>
        <w:t>42.45</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办案量增加，车辆年久老化</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b/>
          <w:sz w:val="32"/>
          <w:szCs w:val="32"/>
        </w:rPr>
        <w:t xml:space="preserve">  </w:t>
      </w:r>
      <w:r>
        <w:rPr>
          <w:rFonts w:hint="eastAsia" w:ascii="仿宋_GB2312" w:hAnsi="ˎ̥" w:eastAsia="仿宋_GB2312"/>
          <w:b/>
          <w:color w:val="auto"/>
          <w:sz w:val="32"/>
          <w:szCs w:val="32"/>
        </w:rPr>
        <w:t xml:space="preserve">  </w:t>
      </w:r>
      <w:r>
        <w:rPr>
          <w:rFonts w:hint="eastAsia" w:ascii="仿宋_GB2312" w:hAnsi="ˎ̥" w:eastAsia="仿宋_GB2312"/>
          <w:b/>
          <w:color w:val="auto"/>
          <w:sz w:val="32"/>
          <w:szCs w:val="32"/>
          <w:lang w:val="en-US" w:eastAsia="zh-CN"/>
        </w:rPr>
        <w:t>2</w:t>
      </w:r>
      <w:r>
        <w:rPr>
          <w:rFonts w:hint="eastAsia" w:ascii="仿宋_GB2312" w:hAnsi="ˎ̥" w:eastAsia="仿宋_GB2312"/>
          <w:b/>
          <w:color w:val="auto"/>
          <w:sz w:val="32"/>
          <w:szCs w:val="32"/>
        </w:rPr>
        <w:t>.公务接待费</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3.32</w:t>
      </w:r>
      <w:r>
        <w:rPr>
          <w:rFonts w:hint="eastAsia" w:ascii="仿宋_GB2312" w:hAnsi="ˎ̥" w:eastAsia="仿宋_GB2312"/>
          <w:color w:val="auto"/>
          <w:sz w:val="32"/>
          <w:szCs w:val="32"/>
        </w:rPr>
        <w:t>万元，其中：</w:t>
      </w:r>
    </w:p>
    <w:p>
      <w:pPr>
        <w:spacing w:line="578" w:lineRule="exact"/>
        <w:ind w:firstLine="640" w:firstLineChars="200"/>
        <w:rPr>
          <w:rFonts w:hint="eastAsia" w:ascii="仿宋_GB2312" w:hAnsi="ˎ̥" w:eastAsia="仿宋_GB2312"/>
          <w:color w:val="auto"/>
          <w:sz w:val="32"/>
          <w:szCs w:val="32"/>
          <w:lang w:eastAsia="zh-CN"/>
        </w:rPr>
      </w:pPr>
      <w:r>
        <w:rPr>
          <w:rFonts w:hint="eastAsia" w:ascii="仿宋_GB2312" w:hAnsi="ˎ̥" w:eastAsia="仿宋_GB2312"/>
          <w:b w:val="0"/>
          <w:bCs/>
          <w:color w:val="auto"/>
          <w:sz w:val="32"/>
          <w:szCs w:val="32"/>
        </w:rPr>
        <w:t>国内接待费支</w:t>
      </w:r>
      <w:r>
        <w:rPr>
          <w:rFonts w:hint="eastAsia" w:ascii="仿宋_GB2312" w:hAnsi="ˎ̥" w:eastAsia="仿宋_GB2312"/>
          <w:color w:val="auto"/>
          <w:sz w:val="32"/>
          <w:szCs w:val="32"/>
        </w:rPr>
        <w:t>出</w:t>
      </w:r>
      <w:r>
        <w:rPr>
          <w:rFonts w:hint="eastAsia" w:ascii="仿宋_GB2312" w:hAnsi="ˎ̥" w:eastAsia="仿宋_GB2312"/>
          <w:color w:val="auto"/>
          <w:sz w:val="32"/>
          <w:szCs w:val="32"/>
          <w:lang w:val="en-US" w:eastAsia="zh-CN"/>
        </w:rPr>
        <w:t>3.32</w:t>
      </w:r>
      <w:r>
        <w:rPr>
          <w:rFonts w:hint="eastAsia" w:ascii="仿宋_GB2312" w:hAnsi="ˎ̥" w:eastAsia="仿宋_GB2312"/>
          <w:color w:val="auto"/>
          <w:sz w:val="32"/>
          <w:szCs w:val="32"/>
        </w:rPr>
        <w:t>万元，国内公务接待</w:t>
      </w:r>
      <w:r>
        <w:rPr>
          <w:rFonts w:hint="eastAsia" w:ascii="仿宋_GB2312" w:hAnsi="ˎ̥" w:eastAsia="仿宋_GB2312"/>
          <w:color w:val="auto"/>
          <w:sz w:val="32"/>
          <w:szCs w:val="32"/>
          <w:lang w:val="en-US" w:eastAsia="zh-CN"/>
        </w:rPr>
        <w:t>22</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151</w:t>
      </w:r>
      <w:r>
        <w:rPr>
          <w:rFonts w:hint="eastAsia" w:ascii="仿宋_GB2312" w:hAnsi="ˎ̥" w:eastAsia="仿宋_GB2312"/>
          <w:color w:val="auto"/>
          <w:sz w:val="32"/>
          <w:szCs w:val="32"/>
        </w:rPr>
        <w:t>人次</w:t>
      </w:r>
      <w:r>
        <w:rPr>
          <w:rFonts w:hint="eastAsia" w:ascii="仿宋_GB2312" w:hAnsi="ˎ̥" w:eastAsia="仿宋_GB2312"/>
          <w:color w:val="auto"/>
          <w:sz w:val="32"/>
          <w:szCs w:val="32"/>
          <w:lang w:eastAsia="zh-CN"/>
        </w:rPr>
        <w:t>。</w:t>
      </w:r>
    </w:p>
    <w:p>
      <w:pPr>
        <w:spacing w:line="578" w:lineRule="exact"/>
        <w:ind w:firstLine="640" w:firstLineChars="200"/>
        <w:rPr>
          <w:rFonts w:hint="eastAsia" w:ascii="仿宋_GB2312" w:hAnsi="ˎ̥" w:eastAsia="仿宋_GB2312"/>
          <w:color w:val="auto"/>
          <w:sz w:val="32"/>
          <w:szCs w:val="32"/>
        </w:rPr>
      </w:pPr>
      <w:r>
        <w:rPr>
          <w:rFonts w:hint="eastAsia" w:ascii="仿宋_GB2312" w:hAnsi="ˎ̥" w:eastAsia="仿宋_GB2312"/>
          <w:color w:val="auto"/>
          <w:sz w:val="32"/>
          <w:szCs w:val="32"/>
        </w:rPr>
        <w:t>国（境）外接待费支出0万元。</w:t>
      </w:r>
    </w:p>
    <w:p>
      <w:pPr>
        <w:spacing w:line="578" w:lineRule="exact"/>
        <w:ind w:firstLine="640" w:firstLineChars="200"/>
        <w:rPr>
          <w:rFonts w:hint="eastAsia" w:ascii="仿宋_GB2312" w:hAnsi="ˎ̥" w:eastAsia="仿宋_GB2312"/>
          <w:color w:val="auto"/>
          <w:sz w:val="32"/>
          <w:szCs w:val="32"/>
        </w:rPr>
      </w:pPr>
      <w:r>
        <w:rPr>
          <w:rFonts w:hint="eastAsia" w:ascii="仿宋_GB2312" w:hAnsi="ˎ̥" w:eastAsia="仿宋_GB2312"/>
          <w:color w:val="auto"/>
          <w:sz w:val="32"/>
          <w:szCs w:val="32"/>
        </w:rPr>
        <w:t>公务接待费支出决算数比预算数持平。</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十、预算绩效情况说明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4</w:t>
      </w:r>
      <w:r>
        <w:rPr>
          <w:rFonts w:hint="eastAsia" w:ascii="仿宋_GB2312" w:hAnsi="ˎ̥" w:eastAsia="仿宋_GB2312"/>
          <w:sz w:val="32"/>
          <w:szCs w:val="32"/>
        </w:rPr>
        <w:t>年，根据财政预算管理要求，我委对项目实行绩效目标管理，并对全部项目实行绩效跟踪管理，每季度填报一次项目绩效进展情况，全年绩效目标完成较好。从完成情况看，我委的绩效目标设定明确，人员配置明确，整体配置合理，整体支出情况较好，确保我委履行职责，顺利完成202</w:t>
      </w:r>
      <w:r>
        <w:rPr>
          <w:rFonts w:hint="eastAsia" w:ascii="仿宋_GB2312" w:hAnsi="ˎ̥" w:eastAsia="仿宋_GB2312"/>
          <w:sz w:val="32"/>
          <w:szCs w:val="32"/>
          <w:lang w:val="en-US" w:eastAsia="zh-CN"/>
        </w:rPr>
        <w:t>4</w:t>
      </w:r>
      <w:r>
        <w:rPr>
          <w:rFonts w:hint="eastAsia" w:ascii="仿宋_GB2312" w:hAnsi="ˎ̥" w:eastAsia="仿宋_GB2312"/>
          <w:sz w:val="32"/>
          <w:szCs w:val="32"/>
        </w:rPr>
        <w:t>年各项工作任务。</w:t>
      </w:r>
      <w:r>
        <w:rPr>
          <w:rFonts w:hint="eastAsia" w:ascii="黑体" w:hAnsi="黑体" w:eastAsia="黑体" w:cs="黑体"/>
          <w:bCs/>
          <w:sz w:val="32"/>
          <w:szCs w:val="32"/>
        </w:rPr>
        <w:t>十一、其他重要事项情况说明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95" w:name="_Toc32639_WPSOffice_Level2"/>
      <w:bookmarkStart w:id="96" w:name="_Toc18325_WPSOffice_Level2"/>
      <w:bookmarkStart w:id="97" w:name="_Toc15262_WPSOffice_Level2"/>
      <w:bookmarkStart w:id="98" w:name="_Toc5978_WPSOffice_Level2"/>
      <w:bookmarkStart w:id="99" w:name="_Toc23598_WPSOffice_Level2"/>
      <w:bookmarkStart w:id="100" w:name="_Toc15565_WPSOffice_Level2"/>
      <w:r>
        <w:rPr>
          <w:rFonts w:hint="eastAsia" w:ascii="楷体" w:hAnsi="楷体" w:eastAsia="楷体" w:cs="楷体"/>
          <w:bCs/>
          <w:sz w:val="32"/>
          <w:szCs w:val="32"/>
        </w:rPr>
        <w:t>（一）机关运行经费支出情况</w:t>
      </w:r>
      <w:bookmarkEnd w:id="95"/>
      <w:bookmarkEnd w:id="96"/>
      <w:bookmarkEnd w:id="97"/>
      <w:bookmarkEnd w:id="98"/>
      <w:bookmarkEnd w:id="99"/>
      <w:bookmarkEnd w:id="100"/>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default" w:ascii="仿宋_GB2312" w:hAnsi="ˎ̥" w:eastAsia="仿宋_GB2312"/>
          <w:sz w:val="32"/>
          <w:szCs w:val="32"/>
          <w:lang w:val="en-US"/>
        </w:rPr>
        <w:t>2024</w:t>
      </w:r>
      <w:r>
        <w:rPr>
          <w:rFonts w:hint="eastAsia" w:ascii="仿宋_GB2312" w:hAnsi="ˎ̥" w:eastAsia="仿宋_GB2312"/>
          <w:sz w:val="32"/>
          <w:szCs w:val="32"/>
        </w:rPr>
        <w:t>年度海南省纪委监委部门机关运</w:t>
      </w:r>
      <w:r>
        <w:rPr>
          <w:rFonts w:hint="eastAsia" w:ascii="仿宋_GB2312" w:hAnsi="ˎ̥" w:eastAsia="仿宋_GB2312"/>
          <w:color w:val="auto"/>
          <w:sz w:val="32"/>
          <w:szCs w:val="32"/>
        </w:rPr>
        <w:t>行经费</w:t>
      </w:r>
      <w:r>
        <w:rPr>
          <w:rFonts w:hint="eastAsia" w:ascii="仿宋_GB2312" w:hAnsi="ˎ̥" w:eastAsia="仿宋_GB2312"/>
          <w:color w:val="auto"/>
          <w:sz w:val="32"/>
          <w:szCs w:val="32"/>
          <w:lang w:val="en-US" w:eastAsia="zh-CN"/>
        </w:rPr>
        <w:t>3,495.07</w:t>
      </w:r>
      <w:r>
        <w:rPr>
          <w:rFonts w:hint="eastAsia" w:ascii="仿宋_GB2312" w:hAnsi="ˎ̥" w:eastAsia="仿宋_GB2312"/>
          <w:color w:val="auto"/>
          <w:sz w:val="32"/>
          <w:szCs w:val="32"/>
        </w:rPr>
        <w:t>万元（为部门决算中行政单位和参公事业单位财政拨款基本支出中公用经费支出之和，事业单位没有机关运行经费支出），比年初预算</w:t>
      </w:r>
      <w:r>
        <w:rPr>
          <w:rFonts w:hint="eastAsia" w:ascii="仿宋_GB2312" w:hAnsi="ˎ̥" w:eastAsia="仿宋_GB2312"/>
          <w:color w:val="auto"/>
          <w:sz w:val="32"/>
          <w:szCs w:val="32"/>
          <w:lang w:eastAsia="zh-CN"/>
        </w:rPr>
        <w:t>减少</w:t>
      </w:r>
      <w:r>
        <w:rPr>
          <w:rFonts w:hint="eastAsia" w:ascii="仿宋_GB2312" w:hAnsi="ˎ̥" w:eastAsia="仿宋_GB2312"/>
          <w:color w:val="auto"/>
          <w:sz w:val="32"/>
          <w:szCs w:val="32"/>
          <w:lang w:val="en-US" w:eastAsia="zh-CN"/>
        </w:rPr>
        <w:t>12.81</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完成预算的99.63</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lang w:val="en-US" w:eastAsia="zh-CN"/>
        </w:rPr>
        <w:t>与2023年度相比，机关运行经费</w:t>
      </w:r>
      <w:r>
        <w:rPr>
          <w:rFonts w:hint="eastAsia" w:ascii="仿宋_GB2312" w:hAnsi="ˎ̥" w:eastAsia="仿宋_GB2312"/>
          <w:color w:val="auto"/>
          <w:sz w:val="32"/>
          <w:szCs w:val="32"/>
        </w:rPr>
        <w:t>增加</w:t>
      </w:r>
      <w:r>
        <w:rPr>
          <w:rFonts w:hint="eastAsia" w:ascii="仿宋_GB2312" w:hAnsi="ˎ̥" w:eastAsia="仿宋_GB2312"/>
          <w:color w:val="auto"/>
          <w:sz w:val="32"/>
          <w:szCs w:val="32"/>
          <w:lang w:val="en-US" w:eastAsia="zh-CN"/>
        </w:rPr>
        <w:t>151.42</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lang w:val="en-US" w:eastAsia="zh-CN"/>
        </w:rPr>
        <w:t>增长4.53%。</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bidi="ar"/>
        </w:rPr>
        <w:t>业务用房面积增加，</w:t>
      </w:r>
      <w:r>
        <w:rPr>
          <w:rFonts w:hint="eastAsia" w:ascii="仿宋_GB2312" w:hAnsi="ˎ̥" w:eastAsia="仿宋_GB2312"/>
          <w:color w:val="auto"/>
          <w:sz w:val="32"/>
          <w:szCs w:val="32"/>
          <w:lang w:bidi="ar"/>
        </w:rPr>
        <w:t>运行维护支出增加</w:t>
      </w:r>
      <w:r>
        <w:rPr>
          <w:rFonts w:hint="eastAsia" w:ascii="仿宋_GB2312" w:hAnsi="ˎ̥" w:eastAsia="仿宋_GB2312"/>
          <w:color w:val="auto"/>
          <w:sz w:val="32"/>
          <w:szCs w:val="32"/>
          <w:lang w:eastAsia="zh-CN" w:bidi="ar"/>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101" w:name="_Toc32689_WPSOffice_Level2"/>
      <w:bookmarkStart w:id="102" w:name="_Toc23966_WPSOffice_Level2"/>
      <w:bookmarkStart w:id="103" w:name="_Toc3131_WPSOffice_Level2"/>
      <w:bookmarkStart w:id="104" w:name="_Toc25333_WPSOffice_Level2"/>
      <w:bookmarkStart w:id="105" w:name="_Toc13084_WPSOffice_Level2"/>
      <w:bookmarkStart w:id="106" w:name="_Toc30383_WPSOffice_Level2"/>
      <w:r>
        <w:rPr>
          <w:rFonts w:hint="eastAsia" w:ascii="楷体" w:hAnsi="楷体" w:eastAsia="楷体" w:cs="楷体"/>
          <w:bCs/>
          <w:sz w:val="32"/>
          <w:szCs w:val="32"/>
        </w:rPr>
        <w:t>（二）</w:t>
      </w:r>
      <w:bookmarkEnd w:id="101"/>
      <w:bookmarkEnd w:id="102"/>
      <w:bookmarkEnd w:id="103"/>
      <w:bookmarkEnd w:id="104"/>
      <w:bookmarkEnd w:id="105"/>
      <w:bookmarkEnd w:id="106"/>
      <w:bookmarkStart w:id="107" w:name="_Toc6016_WPSOffice_Level2"/>
      <w:bookmarkStart w:id="108" w:name="_Toc527_WPSOffice_Level2"/>
      <w:bookmarkStart w:id="109" w:name="_Toc19989_WPSOffice_Level2"/>
      <w:bookmarkStart w:id="110" w:name="_Toc15129_WPSOffice_Level2"/>
      <w:bookmarkStart w:id="111" w:name="_Toc10902_WPSOffice_Level2"/>
      <w:bookmarkStart w:id="112" w:name="_Toc29584_WPSOffice_Level2"/>
      <w:r>
        <w:rPr>
          <w:rFonts w:hint="eastAsia" w:ascii="楷体" w:hAnsi="楷体" w:eastAsia="楷体" w:cs="楷体"/>
          <w:bCs/>
          <w:sz w:val="32"/>
          <w:szCs w:val="32"/>
        </w:rPr>
        <w:t>国有资产占用情况</w:t>
      </w:r>
      <w:bookmarkEnd w:id="107"/>
      <w:bookmarkEnd w:id="108"/>
      <w:bookmarkEnd w:id="109"/>
      <w:bookmarkEnd w:id="110"/>
      <w:bookmarkEnd w:id="111"/>
      <w:bookmarkEnd w:id="112"/>
    </w:p>
    <w:p>
      <w:pPr>
        <w:spacing w:line="578" w:lineRule="exact"/>
        <w:ind w:firstLine="640" w:firstLineChars="200"/>
        <w:rPr>
          <w:rFonts w:hint="eastAsia" w:ascii="仿宋_GB2312" w:hAnsi="ˎ̥" w:eastAsia="仿宋_GB2312"/>
          <w:sz w:val="32"/>
          <w:szCs w:val="32"/>
        </w:rPr>
      </w:pPr>
      <w:r>
        <w:rPr>
          <w:rFonts w:hint="eastAsia" w:ascii="仿宋_GB2312" w:hAnsi="ˎ̥" w:eastAsia="仿宋_GB2312"/>
          <w:bCs/>
          <w:sz w:val="32"/>
          <w:szCs w:val="32"/>
        </w:rPr>
        <w:t>截至</w:t>
      </w:r>
      <w:r>
        <w:rPr>
          <w:rFonts w:hint="default" w:ascii="仿宋_GB2312" w:hAnsi="ˎ̥" w:eastAsia="仿宋_GB2312"/>
          <w:bCs/>
          <w:sz w:val="32"/>
          <w:szCs w:val="32"/>
          <w:lang w:val="en-US"/>
        </w:rPr>
        <w:t>2024</w:t>
      </w:r>
      <w:r>
        <w:rPr>
          <w:rFonts w:hint="eastAsia" w:ascii="仿宋_GB2312" w:hAnsi="ˎ̥" w:eastAsia="仿宋_GB2312"/>
          <w:bCs/>
          <w:sz w:val="32"/>
          <w:szCs w:val="32"/>
        </w:rPr>
        <w:t>年12月31日，本部门占用房屋面积10114.74平方米，均为其他（不含构筑物）用房。</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本部门实有车辆79辆。</w:t>
      </w:r>
    </w:p>
    <w:p>
      <w:pPr>
        <w:spacing w:line="578" w:lineRule="exact"/>
        <w:jc w:val="left"/>
        <w:rPr>
          <w:rFonts w:hint="eastAsia" w:ascii="仿宋_GB2312" w:hAnsi="ˎ̥" w:eastAsia="仿宋_GB2312"/>
          <w:sz w:val="32"/>
          <w:szCs w:val="32"/>
        </w:rPr>
      </w:pPr>
      <w:r>
        <w:rPr>
          <w:rFonts w:hint="eastAsia" w:ascii="仿宋_GB2312" w:hAnsi="ˎ̥" w:eastAsia="仿宋_GB2312"/>
          <w:sz w:val="32"/>
          <w:szCs w:val="32"/>
        </w:rPr>
        <w:t xml:space="preserve">    本部门无单件价值50万元（含）以上通用设备及单价100万元（含）以上专用设备。</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rPr>
          <w:rFonts w:hint="eastAsia" w:ascii="黑体" w:hAnsi="ˎ̥" w:eastAsia="黑体"/>
          <w:sz w:val="32"/>
          <w:szCs w:val="32"/>
        </w:rPr>
      </w:pPr>
      <w:bookmarkStart w:id="113" w:name="_Toc8874_WPSOffice_Level1"/>
      <w:bookmarkStart w:id="114" w:name="_Toc17580_WPSOffice_Level1"/>
      <w:bookmarkStart w:id="115" w:name="_Toc15425_WPSOffice_Level1"/>
      <w:bookmarkStart w:id="116" w:name="_Toc11039_WPSOffice_Level1"/>
      <w:bookmarkStart w:id="117" w:name="_Toc8808_WPSOffice_Level1"/>
      <w:bookmarkStart w:id="118" w:name="_Toc4398_WPSOffice_Level1"/>
    </w:p>
    <w:bookmarkEnd w:id="113"/>
    <w:bookmarkEnd w:id="114"/>
    <w:bookmarkEnd w:id="115"/>
    <w:bookmarkEnd w:id="116"/>
    <w:bookmarkEnd w:id="117"/>
    <w:bookmarkEnd w:id="118"/>
    <w:p>
      <w:pPr>
        <w:spacing w:line="578" w:lineRule="exact"/>
        <w:jc w:val="center"/>
        <w:rPr>
          <w:rFonts w:hint="eastAsia" w:ascii="黑体" w:hAnsi="ˎ̥" w:eastAsia="黑体"/>
          <w:sz w:val="32"/>
          <w:szCs w:val="32"/>
        </w:rPr>
      </w:pPr>
    </w:p>
    <w:p>
      <w:pPr>
        <w:spacing w:line="578" w:lineRule="exact"/>
        <w:jc w:val="center"/>
        <w:rPr>
          <w:rFonts w:hint="eastAsia" w:ascii="黑体" w:hAnsi="ˎ̥" w:eastAsia="黑体"/>
          <w:sz w:val="32"/>
          <w:szCs w:val="32"/>
        </w:rPr>
      </w:pPr>
    </w:p>
    <w:p>
      <w:pPr>
        <w:spacing w:line="578" w:lineRule="exact"/>
        <w:jc w:val="center"/>
        <w:rPr>
          <w:rFonts w:hint="eastAsia" w:ascii="黑体" w:hAnsi="ˎ̥" w:eastAsia="黑体"/>
          <w:sz w:val="32"/>
          <w:szCs w:val="32"/>
        </w:rPr>
      </w:pPr>
      <w:r>
        <w:rPr>
          <w:rFonts w:hint="eastAsia" w:ascii="黑体" w:hAnsi="ˎ̥" w:eastAsia="黑体"/>
          <w:sz w:val="32"/>
          <w:szCs w:val="32"/>
        </w:rPr>
        <w:t>第四部分  名词解释</w:t>
      </w:r>
    </w:p>
    <w:p>
      <w:pPr>
        <w:spacing w:line="578" w:lineRule="exact"/>
        <w:jc w:val="center"/>
        <w:rPr>
          <w:rFonts w:hint="eastAsia" w:ascii="黑体" w:hAnsi="ˎ̥" w:eastAsia="黑体"/>
          <w:sz w:val="32"/>
          <w:szCs w:val="32"/>
        </w:rPr>
      </w:pPr>
    </w:p>
    <w:p>
      <w:pPr>
        <w:numPr>
          <w:ilvl w:val="0"/>
          <w:numId w:val="3"/>
        </w:num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财政拨款收入：指同级政府财政部门当年拨付的各类财政拨款。</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二、事业收入：指事业单位开展专业业务活动及辅助活动取得的收入。</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三、其他收入：指除上述“财政拨款收入”“事业收入”“上级补助收入”“经营收入”“附属单位上缴收入”等以外的收入。</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四、使用非财政拨款结余：指事业单位在当年的“财政拨款收入”“事业收入”“经营收入”“其他收入”等不足以安排当年支出的情况下，使用非同级财政拨款结余资金弥补本年度收支缺口。</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五、年初结转和结余：指以前年度尚未完成、结转到本年按有关规定继续使用的资金，或项目已完成等产生的结余资金。</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六、年末结转和结余：指本年度或以前年度预算安排、因客观条件发生变化无法按原计划实施，需要延迟到以后年度按有关规定继续使用的资金（不包括事业单位非财政拨款结余和专用结余）。</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七、基本支出：指为保障机构正常运转、完成日常工作任务而发生的人员支出和公用支出。</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八、项目支出：指在基本支出之外为完成特定行政任务和事业发展目标所发生的支出。</w:t>
      </w:r>
    </w:p>
    <w:p>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九、“三公”经费：纳入本级财政预决算管理的“三公”经费，是指用一般公共预算财政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spacing w:line="578" w:lineRule="exact"/>
        <w:ind w:firstLine="645"/>
        <w:rPr>
          <w:rFonts w:hint="eastAsia" w:ascii="仿宋_GB2312" w:hAnsi="ˎ̥" w:eastAsia="仿宋_GB2312"/>
          <w:sz w:val="32"/>
          <w:szCs w:val="32"/>
        </w:rPr>
      </w:pPr>
      <w:r>
        <w:rPr>
          <w:rFonts w:hint="eastAsia" w:ascii="仿宋_GB2312" w:hAnsi="ˎ̥" w:eastAsia="仿宋_GB2312"/>
          <w:sz w:val="32"/>
          <w:szCs w:val="32"/>
        </w:rPr>
        <w:t>十、一般公共服务支出：用于纪检监察办案和巡视费用支出，包括行政运行、一般行政管理事务、事业运行、其他纪检监察事务支出等支出功能。</w:t>
      </w:r>
    </w:p>
    <w:p>
      <w:pPr>
        <w:spacing w:line="578" w:lineRule="exact"/>
        <w:ind w:firstLine="645"/>
        <w:rPr>
          <w:rFonts w:hint="eastAsia" w:ascii="仿宋_GB2312" w:hAnsi="ˎ̥" w:eastAsia="仿宋_GB2312"/>
          <w:sz w:val="32"/>
          <w:szCs w:val="32"/>
        </w:rPr>
      </w:pPr>
      <w:r>
        <w:rPr>
          <w:rFonts w:hint="eastAsia" w:ascii="仿宋_GB2312" w:hAnsi="ˎ̥" w:eastAsia="仿宋_GB2312"/>
          <w:sz w:val="32"/>
          <w:szCs w:val="32"/>
        </w:rPr>
        <w:t xml:space="preserve">十一、社会保障和就业支出：主要用于发放离休人员和遗属人员工资，缴纳在职人员社会保险等费用，包括归口管理的行政单位离退休、机关事业单位基本养老保险缴费支出、其他优抚支出等支出功能。 </w:t>
      </w:r>
    </w:p>
    <w:p>
      <w:pPr>
        <w:spacing w:line="578" w:lineRule="exact"/>
        <w:ind w:firstLine="640" w:firstLineChars="200"/>
        <w:rPr>
          <w:rFonts w:hint="eastAsia" w:ascii="仿宋_GB2312" w:hAnsi="ˎ̥" w:eastAsia="仿宋_GB2312"/>
          <w:sz w:val="32"/>
          <w:szCs w:val="32"/>
          <w:lang w:val="en" w:eastAsia="zh-CN"/>
        </w:rPr>
      </w:pPr>
      <w:r>
        <w:rPr>
          <w:rFonts w:hint="eastAsia" w:ascii="仿宋_GB2312" w:hAnsi="ˎ̥" w:eastAsia="仿宋_GB2312"/>
          <w:sz w:val="32"/>
          <w:szCs w:val="32"/>
        </w:rPr>
        <w:t>十二、卫生健康支出：用于缴纳医疗保险费用，包括行政单位医疗和事业单位医疗等支出功能</w:t>
      </w:r>
      <w:r>
        <w:rPr>
          <w:rFonts w:hint="eastAsia" w:ascii="仿宋_GB2312" w:hAnsi="ˎ̥" w:eastAsia="仿宋_GB2312"/>
          <w:sz w:val="32"/>
          <w:szCs w:val="32"/>
          <w:lang w:eastAsia="zh-CN"/>
        </w:rPr>
        <w:t>。</w:t>
      </w:r>
    </w:p>
    <w:p>
      <w:pPr>
        <w:spacing w:line="578" w:lineRule="exact"/>
        <w:ind w:firstLine="645"/>
      </w:pPr>
      <w:r>
        <w:rPr>
          <w:rFonts w:hint="eastAsia" w:ascii="仿宋_GB2312" w:hAnsi="ˎ̥" w:eastAsia="仿宋_GB2312"/>
          <w:sz w:val="32"/>
          <w:szCs w:val="32"/>
        </w:rPr>
        <w:t>十三、住房保障支出：用于住房改革支出，包括住房公积金和购房补贴等支出功能。</w:t>
      </w: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panose1 w:val="03000509000000000000"/>
    <w:charset w:val="86"/>
    <w:family w:val="script"/>
    <w:pitch w:val="default"/>
    <w:sig w:usb0="00000001" w:usb1="080E0000" w:usb2="0000000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18</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EFEDF074"/>
    <w:multiLevelType w:val="singleLevel"/>
    <w:tmpl w:val="EFEDF074"/>
    <w:lvl w:ilvl="0" w:tentative="0">
      <w:start w:val="1"/>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A4101"/>
    <w:rsid w:val="008232A9"/>
    <w:rsid w:val="00896ADB"/>
    <w:rsid w:val="009A2744"/>
    <w:rsid w:val="00A54A37"/>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9201287"/>
    <w:rsid w:val="0FC80124"/>
    <w:rsid w:val="136F98C7"/>
    <w:rsid w:val="17427E68"/>
    <w:rsid w:val="1755065F"/>
    <w:rsid w:val="1AFC29C9"/>
    <w:rsid w:val="1CA52F2E"/>
    <w:rsid w:val="1E3630B9"/>
    <w:rsid w:val="26EEC2B5"/>
    <w:rsid w:val="29472309"/>
    <w:rsid w:val="2B406E77"/>
    <w:rsid w:val="2C2A0C43"/>
    <w:rsid w:val="2D1E73A5"/>
    <w:rsid w:val="2FA90FAB"/>
    <w:rsid w:val="2FBF7E9C"/>
    <w:rsid w:val="32717154"/>
    <w:rsid w:val="34B63260"/>
    <w:rsid w:val="37FDA7E2"/>
    <w:rsid w:val="3A314D88"/>
    <w:rsid w:val="3A746883"/>
    <w:rsid w:val="3CA15DE9"/>
    <w:rsid w:val="3EF636EC"/>
    <w:rsid w:val="3F7F7777"/>
    <w:rsid w:val="3FE61EE5"/>
    <w:rsid w:val="406508EE"/>
    <w:rsid w:val="408D6263"/>
    <w:rsid w:val="41B40CEE"/>
    <w:rsid w:val="48317291"/>
    <w:rsid w:val="485F7024"/>
    <w:rsid w:val="48E70666"/>
    <w:rsid w:val="4C6877E5"/>
    <w:rsid w:val="4D6A468D"/>
    <w:rsid w:val="4EA86137"/>
    <w:rsid w:val="54DF7671"/>
    <w:rsid w:val="56CA7FD0"/>
    <w:rsid w:val="57FA38D1"/>
    <w:rsid w:val="5CCD7C03"/>
    <w:rsid w:val="5F7D3333"/>
    <w:rsid w:val="61385890"/>
    <w:rsid w:val="67DD0A26"/>
    <w:rsid w:val="687436E1"/>
    <w:rsid w:val="6DA45C50"/>
    <w:rsid w:val="6E9A7825"/>
    <w:rsid w:val="6F670F9B"/>
    <w:rsid w:val="737450E0"/>
    <w:rsid w:val="74054476"/>
    <w:rsid w:val="742F38C4"/>
    <w:rsid w:val="74AB66DC"/>
    <w:rsid w:val="74C4154C"/>
    <w:rsid w:val="75956FFF"/>
    <w:rsid w:val="77AA2D01"/>
    <w:rsid w:val="7CDE1DBD"/>
    <w:rsid w:val="7D943A85"/>
    <w:rsid w:val="7DB0448C"/>
    <w:rsid w:val="7E5F9AA4"/>
    <w:rsid w:val="7E79F370"/>
    <w:rsid w:val="8FFC8888"/>
    <w:rsid w:val="A7F73C99"/>
    <w:rsid w:val="B3F90085"/>
    <w:rsid w:val="BFFE3BF4"/>
    <w:rsid w:val="CEE986A0"/>
    <w:rsid w:val="D7B7FEE1"/>
    <w:rsid w:val="DFEBDA37"/>
    <w:rsid w:val="E85F020C"/>
    <w:rsid w:val="EE7F81FA"/>
    <w:rsid w:val="EF6FCA1D"/>
    <w:rsid w:val="EF7DC1F3"/>
    <w:rsid w:val="EFFF57D6"/>
    <w:rsid w:val="F3331A24"/>
    <w:rsid w:val="FA588D9E"/>
    <w:rsid w:val="FD33A2D0"/>
    <w:rsid w:val="FF7FA20F"/>
    <w:rsid w:val="FFEFA521"/>
    <w:rsid w:val="FFFBA9A9"/>
    <w:rsid w:val="FFFE81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qFormat/>
    <w:uiPriority w:val="0"/>
    <w:rPr>
      <w:b/>
      <w:bCs/>
    </w:rPr>
  </w:style>
  <w:style w:type="character" w:styleId="9">
    <w:name w:val="page number"/>
    <w:qFormat/>
    <w:uiPriority w:val="0"/>
  </w:style>
  <w:style w:type="character" w:styleId="10">
    <w:name w:val="annotation reference"/>
    <w:qFormat/>
    <w:uiPriority w:val="0"/>
    <w:rPr>
      <w:sz w:val="21"/>
      <w:szCs w:val="21"/>
    </w:rPr>
  </w:style>
  <w:style w:type="character" w:customStyle="1" w:styleId="11">
    <w:name w:val="批注文字 Char"/>
    <w:link w:val="2"/>
    <w:qFormat/>
    <w:uiPriority w:val="0"/>
    <w:rPr>
      <w:kern w:val="2"/>
      <w:sz w:val="21"/>
      <w:szCs w:val="24"/>
    </w:rPr>
  </w:style>
  <w:style w:type="character" w:customStyle="1" w:styleId="12">
    <w:name w:val="批注框文本 Char"/>
    <w:link w:val="3"/>
    <w:qFormat/>
    <w:uiPriority w:val="0"/>
    <w:rPr>
      <w:kern w:val="2"/>
      <w:sz w:val="18"/>
      <w:szCs w:val="18"/>
    </w:rPr>
  </w:style>
  <w:style w:type="character" w:customStyle="1" w:styleId="13">
    <w:name w:val="页眉 Char"/>
    <w:link w:val="5"/>
    <w:qFormat/>
    <w:uiPriority w:val="0"/>
    <w:rPr>
      <w:kern w:val="2"/>
      <w:sz w:val="18"/>
      <w:szCs w:val="18"/>
    </w:rPr>
  </w:style>
  <w:style w:type="character" w:customStyle="1" w:styleId="14">
    <w:name w:val="批注主题 Char"/>
    <w:link w:val="6"/>
    <w:qFormat/>
    <w:uiPriority w:val="0"/>
    <w:rPr>
      <w:b/>
      <w:bCs/>
      <w:kern w:val="2"/>
      <w:sz w:val="21"/>
      <w:szCs w:val="24"/>
    </w:rPr>
  </w:style>
  <w:style w:type="paragraph" w:customStyle="1" w:styleId="15">
    <w:name w:val="WPSOffice手动目录 1"/>
    <w:qFormat/>
    <w:uiPriority w:val="0"/>
    <w:rPr>
      <w:rFonts w:ascii="Times New Roman" w:hAnsi="Times New Roman" w:eastAsia="宋体" w:cs="Times New Roman"/>
      <w:lang w:val="en-US" w:eastAsia="zh-CN" w:bidi="ar-SA"/>
    </w:rPr>
  </w:style>
  <w:style w:type="paragraph" w:customStyle="1" w:styleId="16">
    <w:name w:val="WPSOffice手动目录 2"/>
    <w:qFormat/>
    <w:uiPriority w:val="0"/>
    <w:pPr>
      <w:ind w:leftChars="200"/>
    </w:pPr>
    <w:rPr>
      <w:rFonts w:ascii="Times New Roman" w:hAnsi="Times New Roman" w:eastAsia="宋体" w:cs="Times New Roman"/>
      <w:lang w:val="en-US" w:eastAsia="zh-CN" w:bidi="ar-SA"/>
    </w:rPr>
  </w:style>
  <w:style w:type="paragraph" w:customStyle="1" w:styleId="17">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1163</Words>
  <Characters>2480</Characters>
  <Lines>67</Lines>
  <Paragraphs>18</Paragraphs>
  <TotalTime>2</TotalTime>
  <ScaleCrop>false</ScaleCrop>
  <LinksUpToDate>false</LinksUpToDate>
  <CharactersWithSpaces>2528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2024-07-26T03:26:00Z</dcterms:created>
  <dc:creator>uos</dc:creator>
  <cp:lastModifiedBy>hnjw</cp:lastModifiedBy>
  <cp:lastPrinted>2025-08-22T13:13:00Z</cp:lastPrinted>
  <dcterms:modified xsi:type="dcterms:W3CDTF">2025-08-22T08:40:48Z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