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napToGrid/>
        <w:spacing w:line="560" w:lineRule="exact"/>
        <w:jc w:val="center"/>
        <w:textAlignment w:val="auto"/>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海南省三亚市中级人民法院2024年度部门决算公开报告</w:t>
      </w:r>
    </w:p>
    <w:p>
      <w:pPr>
        <w:keepNext w:val="0"/>
        <w:keepLines w:val="0"/>
        <w:pageBreakBefore w:val="0"/>
        <w:kinsoku/>
        <w:wordWrap/>
        <w:overflowPunct/>
        <w:topLinePunct w:val="0"/>
        <w:autoSpaceDN/>
        <w:bidi w:val="0"/>
        <w:adjustRightInd/>
        <w:snapToGrid/>
        <w:spacing w:line="560" w:lineRule="exact"/>
        <w:jc w:val="center"/>
        <w:textAlignment w:val="auto"/>
        <w:rPr>
          <w:rFonts w:hint="eastAsia" w:asciiTheme="majorEastAsia" w:hAnsiTheme="majorEastAsia" w:eastAsiaTheme="majorEastAsia" w:cstheme="majorEastAsia"/>
          <w:b/>
          <w:bCs/>
          <w:sz w:val="44"/>
          <w:szCs w:val="44"/>
        </w:rPr>
      </w:pPr>
    </w:p>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ˎ̥" w:eastAsia="黑体"/>
          <w:b/>
          <w:sz w:val="32"/>
          <w:szCs w:val="32"/>
        </w:rPr>
      </w:pPr>
    </w:p>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17"/>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rPr>
        <w:t>2</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3</w:t>
      </w:r>
    </w:p>
    <w:p>
      <w:pPr>
        <w:pStyle w:val="17"/>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eastAsia="宋体"/>
          <w:sz w:val="32"/>
          <w:szCs w:val="32"/>
          <w:lang w:eastAsia="zh-CN"/>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lang w:val="en-US" w:eastAsia="zh-CN"/>
        </w:rPr>
        <w:t>4</w:t>
      </w:r>
    </w:p>
    <w:p>
      <w:pPr>
        <w:pStyle w:val="17"/>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eastAsia="宋体"/>
          <w:sz w:val="32"/>
          <w:szCs w:val="32"/>
          <w:lang w:eastAsia="zh-CN"/>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default" w:ascii="黑体" w:hAnsi="ˎ̥" w:eastAsia="黑体"/>
          <w:sz w:val="32"/>
          <w:szCs w:val="32"/>
          <w:lang w:val="en-US"/>
        </w:rPr>
        <w:t>2024</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lang w:val="en-US" w:eastAsia="zh-CN"/>
        </w:rPr>
        <w:t>4</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4</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6</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10</w:t>
      </w:r>
    </w:p>
    <w:p>
      <w:pPr>
        <w:pStyle w:val="18"/>
        <w:keepNext w:val="0"/>
        <w:keepLines w:val="0"/>
        <w:pageBreakBefore w:val="0"/>
        <w:numPr>
          <w:ilvl w:val="0"/>
          <w:numId w:val="1"/>
        </w:numPr>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10</w:t>
      </w:r>
    </w:p>
    <w:p>
      <w:pPr>
        <w:pStyle w:val="18"/>
        <w:keepNext w:val="0"/>
        <w:keepLines w:val="0"/>
        <w:pageBreakBefore w:val="0"/>
        <w:numPr>
          <w:ilvl w:val="0"/>
          <w:numId w:val="1"/>
        </w:numPr>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10</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10</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w:t>
      </w:r>
      <w:r>
        <w:rPr>
          <w:rFonts w:hint="eastAsia" w:ascii="仿宋" w:hAnsi="仿宋" w:eastAsia="仿宋" w:cs="仿宋"/>
          <w:sz w:val="32"/>
          <w:szCs w:val="32"/>
          <w:lang w:val="en-US" w:eastAsia="zh-CN"/>
        </w:rPr>
        <w:t>2</w:t>
      </w:r>
    </w:p>
    <w:p>
      <w:pPr>
        <w:pStyle w:val="18"/>
        <w:keepNext w:val="0"/>
        <w:keepLines w:val="0"/>
        <w:pageBreakBefore w:val="0"/>
        <w:tabs>
          <w:tab w:val="right" w:leader="dot" w:pos="8306"/>
        </w:tabs>
        <w:kinsoku/>
        <w:wordWrap/>
        <w:overflowPunct/>
        <w:topLinePunct w:val="0"/>
        <w:autoSpaceDN/>
        <w:bidi w:val="0"/>
        <w:adjustRightInd/>
        <w:snapToGrid/>
        <w:spacing w:line="560" w:lineRule="exact"/>
        <w:ind w:leftChars="0"/>
        <w:textAlignment w:val="auto"/>
        <w:rPr>
          <w:rFonts w:hint="eastAsia" w:ascii="仿宋" w:hAnsi="仿宋" w:eastAsia="仿宋" w:cs="仿宋"/>
          <w:sz w:val="32"/>
          <w:szCs w:val="32"/>
          <w:lang w:eastAsia="zh-C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5</w:t>
      </w:r>
    </w:p>
    <w:p>
      <w:pPr>
        <w:pStyle w:val="17"/>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ascii="黑体" w:hAnsi="ˎ̥" w:eastAsia="宋体"/>
          <w:b/>
          <w:sz w:val="32"/>
          <w:szCs w:val="32"/>
          <w:lang w:eastAsia="zh-CN"/>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eastAsia"/>
          <w:sz w:val="32"/>
          <w:szCs w:val="32"/>
          <w:lang w:val="en-US" w:eastAsia="zh-CN"/>
        </w:rPr>
        <w:t>6</w:t>
      </w:r>
    </w:p>
    <w:p>
      <w:pPr>
        <w:keepNext w:val="0"/>
        <w:keepLines w:val="0"/>
        <w:pageBreakBefore w:val="0"/>
        <w:kinsoku/>
        <w:wordWrap/>
        <w:overflowPunct/>
        <w:topLinePunct w:val="0"/>
        <w:autoSpaceDN/>
        <w:bidi w:val="0"/>
        <w:adjustRightInd/>
        <w:snapToGrid/>
        <w:spacing w:line="560" w:lineRule="exact"/>
        <w:jc w:val="both"/>
        <w:textAlignment w:val="auto"/>
        <w:rPr>
          <w:rFonts w:hint="eastAsia" w:ascii="黑体" w:hAnsi="ˎ̥" w:eastAsia="黑体"/>
          <w:sz w:val="32"/>
          <w:szCs w:val="32"/>
        </w:rPr>
      </w:pPr>
      <w:bookmarkStart w:id="2" w:name="_Toc1704_WPSOffice_Level1"/>
      <w:bookmarkStart w:id="3" w:name="_Toc10720_WPSOffice_Level1"/>
      <w:bookmarkStart w:id="4" w:name="_Toc10049_WPSOffice_Level1"/>
      <w:bookmarkStart w:id="5" w:name="_Toc32433_WPSOffice_Level1"/>
      <w:bookmarkStart w:id="6" w:name="_Toc22941_WPSOffice_Level1"/>
      <w:bookmarkStart w:id="7" w:name="_Toc23465_WPSOffice_Level1"/>
      <w:bookmarkStart w:id="8" w:name="_Toc24238_WPSOffice_Level2"/>
      <w:bookmarkStart w:id="9" w:name="_Toc20205_WPSOffice_Level2"/>
      <w:bookmarkStart w:id="10" w:name="_Toc26580_WPSOffice_Level2"/>
      <w:bookmarkStart w:id="11" w:name="_Toc32622_WPSOffice_Level2"/>
      <w:bookmarkStart w:id="12" w:name="_Toc14159_WPSOffice_Level2"/>
      <w:bookmarkStart w:id="13" w:name="_Toc20274_WPSOffice_Level2"/>
    </w:p>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ˎ̥" w:eastAsia="黑体"/>
          <w:sz w:val="32"/>
          <w:szCs w:val="32"/>
        </w:rPr>
      </w:pPr>
    </w:p>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ˎ̥" w:eastAsia="黑体"/>
          <w:sz w:val="32"/>
          <w:szCs w:val="32"/>
        </w:rPr>
      </w:pPr>
      <w:r>
        <w:rPr>
          <w:rFonts w:hint="eastAsia" w:ascii="黑体" w:hAnsi="ˎ̥" w:eastAsia="黑体"/>
          <w:sz w:val="32"/>
          <w:szCs w:val="32"/>
        </w:rPr>
        <w:t xml:space="preserve">第一部分  </w:t>
      </w:r>
      <w:bookmarkEnd w:id="2"/>
      <w:bookmarkEnd w:id="3"/>
      <w:bookmarkEnd w:id="4"/>
      <w:bookmarkEnd w:id="5"/>
      <w:bookmarkEnd w:id="6"/>
      <w:bookmarkEnd w:id="7"/>
      <w:r>
        <w:rPr>
          <w:rFonts w:hint="eastAsia" w:ascii="黑体" w:hAnsi="ˎ̥" w:eastAsia="黑体"/>
          <w:sz w:val="32"/>
          <w:szCs w:val="32"/>
        </w:rPr>
        <w:t>基本情况</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楷体" w:hAnsi="楷体" w:eastAsia="楷体" w:cs="楷体"/>
          <w:sz w:val="32"/>
          <w:szCs w:val="32"/>
        </w:rPr>
      </w:pPr>
    </w:p>
    <w:p>
      <w:pPr>
        <w:keepNext w:val="0"/>
        <w:keepLines w:val="0"/>
        <w:pageBreakBefore w:val="0"/>
        <w:numPr>
          <w:ilvl w:val="0"/>
          <w:numId w:val="2"/>
        </w:numPr>
        <w:kinsoku/>
        <w:wordWrap/>
        <w:overflowPunct/>
        <w:topLinePunct w:val="0"/>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部门</w:t>
      </w:r>
      <w:bookmarkEnd w:id="8"/>
      <w:r>
        <w:rPr>
          <w:rFonts w:hint="eastAsia" w:ascii="黑体" w:hAnsi="黑体" w:eastAsia="黑体" w:cs="黑体"/>
          <w:sz w:val="32"/>
          <w:szCs w:val="32"/>
        </w:rPr>
        <w:t>职责</w:t>
      </w:r>
      <w:bookmarkEnd w:id="9"/>
      <w:bookmarkEnd w:id="10"/>
      <w:bookmarkEnd w:id="11"/>
      <w:bookmarkEnd w:id="12"/>
      <w:bookmarkEnd w:id="13"/>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海南省三亚市中级人民法院依法行使审判权并监督下级人民法院的审判工作，对三亚市人民代表大会和三亚市人民代表大会常务委员会负责并报告工作。</w:t>
      </w:r>
    </w:p>
    <w:p>
      <w:pPr>
        <w:keepNext w:val="0"/>
        <w:keepLines w:val="0"/>
        <w:pageBreakBefore w:val="0"/>
        <w:kinsoku/>
        <w:wordWrap/>
        <w:overflowPunct/>
        <w:topLinePunct w:val="0"/>
        <w:autoSpaceDE/>
        <w:autoSpaceDN/>
        <w:bidi w:val="0"/>
        <w:adjustRightInd/>
        <w:snapToGrid/>
        <w:spacing w:line="560" w:lineRule="exact"/>
        <w:textAlignment w:val="auto"/>
        <w:rPr>
          <w:rFonts w:ascii="仿宋_GB2312" w:hAnsi="仿宋_GB2312" w:eastAsia="仿宋_GB2312" w:cs="宋体"/>
          <w:kern w:val="1"/>
          <w:sz w:val="32"/>
          <w:szCs w:val="32"/>
        </w:rPr>
      </w:pPr>
      <w:r>
        <w:rPr>
          <w:rFonts w:ascii="仿宋_GB2312" w:hAnsi="仿宋_GB2312" w:eastAsia="仿宋_GB2312" w:cs="宋体"/>
          <w:kern w:val="1"/>
          <w:sz w:val="32"/>
          <w:szCs w:val="32"/>
        </w:rPr>
        <w:t xml:space="preserve">    </w:t>
      </w:r>
      <w:r>
        <w:rPr>
          <w:rFonts w:hint="eastAsia" w:ascii="仿宋_GB2312" w:hAnsi="仿宋_GB2312" w:eastAsia="仿宋_GB2312" w:cs="宋体"/>
          <w:kern w:val="1"/>
          <w:sz w:val="32"/>
          <w:szCs w:val="32"/>
        </w:rPr>
        <w:t>（一）依法审判法律规定由中级人民法院管辖的和其认为应当由本院审判的刑事、民事、行政等第一审案件。</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（二）依法审判法律规定由中级人民法院管辖的刑事、民事、行政等第二审案件。</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（三）依法审判海南省高级人民法院交办的刑事、民事、行政等第二审案件。</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（四）审理不服三亚市两级法院发生法律效力的判决、裁定的各类申诉和申请再审案件，对其中确有错误的判决、裁定，提起再审或指令下级人民法院再审。</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（五）依法审判市人民检察院按照审判监督程序提出的抗诉案件。</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（六）执行本院已发生法律效力的判决、裁定，执行国家行政机关依法申请执行而又需要中级人民法院执行的案件和外省、市同级法院委托执行的案件。</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（七）根据《国家赔偿法》的规定，办理有关赔偿案件。</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（八）监督、指导本市基层法院的审判工作，对下级人民法院管辖不明的案件指定管辖。</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（九）组织和指导全市法院的调查研究工作，解决审判工作中的法律政策及疑难问题，提出解决问题的办法和意见。</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（十）对地方性法规、政府规章等草案提出意见；针对案件审理中发现的问题提出司法建议。</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（十一）负责两级法院的思想政治、教育培训工作；按照权限管理法官、执行员、书记员、司法警察、司法鉴定人员及司法行政人员。</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（十二）指导全市法院的司法行政工作和司法技术工作，依照职权管理法院的有关经费和物资装备。</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（十三）结合业务工作，开展法制宣传工作，教育公民忠于社会主义祖国、自觉遵守宪法、法律和社会公德。</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宋体"/>
          <w:kern w:val="1"/>
          <w:sz w:val="32"/>
          <w:szCs w:val="32"/>
        </w:rPr>
      </w:pPr>
      <w:r>
        <w:rPr>
          <w:rFonts w:hint="eastAsia" w:ascii="仿宋_GB2312" w:hAnsi="仿宋_GB2312" w:eastAsia="仿宋_GB2312" w:cs="宋体"/>
          <w:kern w:val="1"/>
          <w:sz w:val="32"/>
          <w:szCs w:val="32"/>
        </w:rPr>
        <w:t>（十四）负责全市法院的监察工作。</w:t>
      </w:r>
    </w:p>
    <w:p>
      <w:pPr>
        <w:pStyle w:val="20"/>
        <w:keepNext w:val="0"/>
        <w:keepLines w:val="0"/>
        <w:pageBreakBefore w:val="0"/>
        <w:kinsoku/>
        <w:wordWrap/>
        <w:overflowPunct/>
        <w:topLinePunct w:val="0"/>
        <w:autoSpaceDE/>
        <w:autoSpaceDN/>
        <w:bidi w:val="0"/>
        <w:adjustRightInd/>
        <w:snapToGrid/>
        <w:spacing w:line="560" w:lineRule="exact"/>
        <w:ind w:left="640" w:firstLine="0"/>
        <w:jc w:val="left"/>
        <w:textAlignment w:val="auto"/>
        <w:rPr>
          <w:rFonts w:ascii="黑体" w:hAnsi="黑体" w:eastAsia="黑体" w:cs="黑体"/>
          <w:sz w:val="32"/>
          <w:szCs w:val="32"/>
        </w:rPr>
      </w:pPr>
      <w:r>
        <w:rPr>
          <w:rFonts w:ascii="仿宋_GB2312" w:hAnsi="仿宋_GB2312" w:eastAsia="仿宋_GB2312" w:cs="宋体"/>
          <w:bCs/>
          <w:sz w:val="32"/>
          <w:szCs w:val="32"/>
        </w:rPr>
        <w:t>（十五）承办市委、省高级人民法院交办的其他</w:t>
      </w:r>
      <w:r>
        <w:rPr>
          <w:rFonts w:hint="eastAsia" w:ascii="仿宋_GB2312" w:hAnsi="仿宋_GB2312" w:eastAsia="仿宋_GB2312" w:cs="宋体"/>
          <w:bCs/>
          <w:sz w:val="32"/>
          <w:szCs w:val="32"/>
          <w:lang w:eastAsia="zh-CN"/>
        </w:rPr>
        <w:t>工</w:t>
      </w:r>
      <w:r>
        <w:rPr>
          <w:rFonts w:ascii="仿宋_GB2312" w:hAnsi="仿宋_GB2312" w:eastAsia="仿宋_GB2312" w:cs="宋体"/>
          <w:bCs/>
          <w:sz w:val="32"/>
          <w:szCs w:val="32"/>
        </w:rPr>
        <w:t>作。</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黑体" w:hAnsi="黑体" w:eastAsia="黑体" w:cs="黑体"/>
          <w:sz w:val="32"/>
          <w:szCs w:val="32"/>
        </w:rPr>
      </w:pPr>
      <w:bookmarkStart w:id="14" w:name="_Toc17796_WPSOffice_Level2"/>
      <w:bookmarkStart w:id="15" w:name="_Toc4833_WPSOffice_Level2"/>
      <w:bookmarkStart w:id="16" w:name="_Toc6572_WPSOffice_Level2"/>
      <w:bookmarkStart w:id="17" w:name="_Toc24474_WPSOffice_Level2"/>
      <w:bookmarkStart w:id="18" w:name="_Toc24059_WPSOffice_Level2"/>
      <w:r>
        <w:rPr>
          <w:rFonts w:hint="eastAsia" w:ascii="黑体" w:hAnsi="黑体" w:eastAsia="黑体" w:cs="黑体"/>
          <w:sz w:val="32"/>
          <w:szCs w:val="32"/>
        </w:rPr>
        <w:t>二、机构设置</w:t>
      </w:r>
      <w:bookmarkEnd w:id="14"/>
      <w:bookmarkEnd w:id="15"/>
      <w:bookmarkEnd w:id="16"/>
      <w:bookmarkEnd w:id="17"/>
      <w:bookmarkEnd w:id="18"/>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kern w:val="1"/>
          <w:sz w:val="32"/>
          <w:szCs w:val="32"/>
          <w:lang w:val="en-US" w:eastAsia="zh-CN"/>
        </w:rPr>
      </w:pPr>
      <w:r>
        <w:rPr>
          <w:rFonts w:hint="eastAsia" w:ascii="仿宋_GB2312" w:hAnsi="ˎ̥" w:eastAsia="仿宋_GB2312"/>
          <w:sz w:val="32"/>
          <w:szCs w:val="32"/>
        </w:rPr>
        <w:t>纳入</w:t>
      </w:r>
      <w:r>
        <w:rPr>
          <w:rFonts w:hint="eastAsia" w:ascii="仿宋_GB2312" w:hAnsi="仿宋_GB2312" w:eastAsia="仿宋_GB2312" w:cs="宋体"/>
          <w:kern w:val="1"/>
          <w:sz w:val="32"/>
          <w:szCs w:val="32"/>
        </w:rPr>
        <w:t>海南省三亚市中级人民法院</w:t>
      </w:r>
      <w:r>
        <w:rPr>
          <w:rFonts w:hint="default" w:ascii="仿宋_GB2312" w:hAnsi="ˎ̥" w:eastAsia="仿宋_GB2312"/>
          <w:sz w:val="32"/>
          <w:szCs w:val="32"/>
          <w:lang w:val="en-US"/>
        </w:rPr>
        <w:t>2024</w:t>
      </w:r>
      <w:r>
        <w:rPr>
          <w:rFonts w:hint="eastAsia" w:ascii="仿宋_GB2312" w:hAnsi="ˎ̥" w:eastAsia="仿宋_GB2312"/>
          <w:sz w:val="32"/>
          <w:szCs w:val="32"/>
        </w:rPr>
        <w:t>年度部门决算编制范围的单位</w:t>
      </w:r>
      <w:r>
        <w:rPr>
          <w:rFonts w:ascii="仿宋_GB2312" w:hAnsi="仿宋_GB2312" w:eastAsia="仿宋_GB2312" w:cs="宋体"/>
          <w:sz w:val="32"/>
          <w:szCs w:val="30"/>
        </w:rPr>
        <w:t>只包含</w:t>
      </w:r>
      <w:r>
        <w:rPr>
          <w:rFonts w:hint="eastAsia" w:ascii="仿宋_GB2312" w:hAnsi="仿宋_GB2312" w:eastAsia="仿宋_GB2312" w:cs="宋体"/>
          <w:sz w:val="32"/>
          <w:szCs w:val="30"/>
          <w:lang w:eastAsia="zh-CN"/>
        </w:rPr>
        <w:t>海南省三亚市中级人民法</w:t>
      </w:r>
      <w:r>
        <w:rPr>
          <w:rFonts w:ascii="仿宋_GB2312" w:hAnsi="仿宋_GB2312" w:eastAsia="仿宋_GB2312" w:cs="宋体"/>
          <w:sz w:val="32"/>
          <w:szCs w:val="30"/>
        </w:rPr>
        <w:t>院本级</w:t>
      </w:r>
      <w:r>
        <w:rPr>
          <w:rFonts w:hint="eastAsia" w:ascii="仿宋_GB2312" w:hAnsi="仿宋_GB2312" w:eastAsia="仿宋_GB2312" w:cs="宋体"/>
          <w:sz w:val="32"/>
          <w:szCs w:val="30"/>
          <w:lang w:val="en-US" w:eastAsia="zh-CN"/>
        </w:rPr>
        <w:t>1个单位</w:t>
      </w:r>
      <w:r>
        <w:rPr>
          <w:rFonts w:ascii="仿宋_GB2312" w:hAnsi="仿宋_GB2312" w:eastAsia="仿宋_GB2312" w:cs="仿宋_GB2312"/>
          <w:kern w:val="1"/>
          <w:sz w:val="32"/>
          <w:szCs w:val="32"/>
        </w:rPr>
        <w:t>。</w:t>
      </w:r>
      <w:r>
        <w:rPr>
          <w:rFonts w:hint="eastAsia" w:ascii="仿宋_GB2312" w:hAnsi="仿宋_GB2312" w:eastAsia="仿宋_GB2312" w:cs="仿宋_GB2312"/>
          <w:kern w:val="1"/>
          <w:sz w:val="32"/>
          <w:szCs w:val="32"/>
          <w:lang w:eastAsia="zh-CN"/>
        </w:rPr>
        <w:t>单位本级决算数据与部门决算数据完全一致，因此本次对</w:t>
      </w:r>
      <w:r>
        <w:rPr>
          <w:rFonts w:hint="eastAsia" w:ascii="仿宋_GB2312" w:hAnsi="仿宋_GB2312" w:eastAsia="仿宋_GB2312" w:cs="宋体"/>
          <w:sz w:val="32"/>
          <w:szCs w:val="30"/>
          <w:lang w:eastAsia="zh-CN"/>
        </w:rPr>
        <w:t>海南省三亚市中级人民法</w:t>
      </w:r>
      <w:r>
        <w:rPr>
          <w:rFonts w:ascii="仿宋_GB2312" w:hAnsi="仿宋_GB2312" w:eastAsia="仿宋_GB2312" w:cs="宋体"/>
          <w:sz w:val="32"/>
          <w:szCs w:val="30"/>
        </w:rPr>
        <w:t>院本级</w:t>
      </w:r>
      <w:r>
        <w:rPr>
          <w:rFonts w:hint="eastAsia" w:ascii="仿宋_GB2312" w:hAnsi="仿宋_GB2312" w:eastAsia="仿宋_GB2312" w:cs="宋体"/>
          <w:sz w:val="32"/>
          <w:szCs w:val="30"/>
          <w:lang w:val="en-US" w:eastAsia="zh-CN"/>
        </w:rPr>
        <w:t>2024年度部门决算情况不再进行</w:t>
      </w:r>
      <w:r>
        <w:rPr>
          <w:rFonts w:hint="eastAsia" w:ascii="仿宋_GB2312" w:hAnsi="仿宋_GB2312" w:eastAsia="仿宋_GB2312" w:cs="仿宋_GB2312"/>
          <w:kern w:val="1"/>
          <w:sz w:val="32"/>
          <w:szCs w:val="32"/>
          <w:lang w:eastAsia="zh-CN"/>
        </w:rPr>
        <w:t>重复公开。</w:t>
      </w:r>
      <w:r>
        <w:rPr>
          <w:rFonts w:hint="eastAsia" w:ascii="仿宋_GB2312" w:hAnsi="仿宋_GB2312" w:eastAsia="仿宋_GB2312" w:cs="仿宋_GB2312"/>
          <w:kern w:val="1"/>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kern w:val="1"/>
          <w:sz w:val="32"/>
          <w:szCs w:val="32"/>
        </w:rPr>
      </w:pPr>
      <w:r>
        <w:rPr>
          <w:rFonts w:hint="eastAsia" w:ascii="仿宋_GB2312" w:hAnsi="ˎ̥" w:eastAsia="仿宋_GB2312"/>
          <w:sz w:val="32"/>
          <w:szCs w:val="32"/>
          <w:lang w:eastAsia="zh-CN"/>
        </w:rPr>
        <w:t>海南省</w:t>
      </w:r>
      <w:r>
        <w:rPr>
          <w:rFonts w:hint="eastAsia" w:ascii="仿宋_GB2312" w:hAnsi="仿宋_GB2312" w:eastAsia="仿宋_GB2312" w:cs="宋体"/>
          <w:sz w:val="32"/>
          <w:szCs w:val="30"/>
          <w:lang w:eastAsia="zh-CN"/>
        </w:rPr>
        <w:t>三亚市中级人民法</w:t>
      </w:r>
      <w:r>
        <w:rPr>
          <w:rFonts w:ascii="仿宋_GB2312" w:hAnsi="仿宋_GB2312" w:eastAsia="仿宋_GB2312" w:cs="宋体"/>
          <w:sz w:val="32"/>
          <w:szCs w:val="30"/>
        </w:rPr>
        <w:t>院</w:t>
      </w:r>
      <w:r>
        <w:rPr>
          <w:rFonts w:hint="eastAsia" w:ascii="仿宋_GB2312" w:hAnsi="Times New Roman" w:eastAsia="仿宋_GB2312"/>
          <w:color w:val="auto"/>
          <w:kern w:val="0"/>
          <w:sz w:val="32"/>
          <w:szCs w:val="32"/>
          <w:highlight w:val="none"/>
        </w:rPr>
        <w:t>内设刑事审判庭、民事审判第一庭、民事审判第二庭、民事审判第三庭、环境</w:t>
      </w:r>
      <w:r>
        <w:rPr>
          <w:rFonts w:hint="eastAsia" w:ascii="仿宋_GB2312" w:hAnsi="Times New Roman" w:eastAsia="仿宋_GB2312"/>
          <w:color w:val="auto"/>
          <w:kern w:val="0"/>
          <w:sz w:val="32"/>
          <w:szCs w:val="32"/>
          <w:highlight w:val="none"/>
          <w:lang w:eastAsia="zh-CN"/>
        </w:rPr>
        <w:t>资源</w:t>
      </w:r>
      <w:r>
        <w:rPr>
          <w:rFonts w:hint="eastAsia" w:ascii="仿宋_GB2312" w:hAnsi="Times New Roman" w:eastAsia="仿宋_GB2312"/>
          <w:color w:val="auto"/>
          <w:kern w:val="0"/>
          <w:sz w:val="32"/>
          <w:szCs w:val="32"/>
          <w:highlight w:val="none"/>
        </w:rPr>
        <w:t>审判庭、行政审判庭、审判监督庭、</w:t>
      </w:r>
      <w:r>
        <w:rPr>
          <w:rFonts w:hint="eastAsia" w:ascii="仿宋_GB2312" w:eastAsia="仿宋_GB2312"/>
          <w:color w:val="auto"/>
          <w:kern w:val="0"/>
          <w:sz w:val="32"/>
          <w:szCs w:val="32"/>
          <w:highlight w:val="none"/>
          <w:lang w:eastAsia="zh-CN"/>
        </w:rPr>
        <w:t>海南自贸港第二国际民商事法</w:t>
      </w:r>
      <w:r>
        <w:rPr>
          <w:rFonts w:hint="eastAsia" w:ascii="仿宋_GB2312" w:hAnsi="Times New Roman" w:eastAsia="仿宋_GB2312"/>
          <w:color w:val="auto"/>
          <w:kern w:val="0"/>
          <w:sz w:val="32"/>
          <w:szCs w:val="32"/>
          <w:highlight w:val="none"/>
        </w:rPr>
        <w:t>庭</w:t>
      </w:r>
      <w:r>
        <w:rPr>
          <w:rFonts w:hint="eastAsia" w:ascii="仿宋_GB2312" w:eastAsia="仿宋_GB2312"/>
          <w:color w:val="auto"/>
          <w:kern w:val="0"/>
          <w:sz w:val="32"/>
          <w:szCs w:val="32"/>
          <w:highlight w:val="none"/>
          <w:lang w:eastAsia="zh-CN"/>
        </w:rPr>
        <w:t>、</w:t>
      </w:r>
      <w:r>
        <w:rPr>
          <w:rFonts w:hint="eastAsia" w:ascii="仿宋_GB2312" w:hAnsi="Times New Roman" w:eastAsia="仿宋_GB2312"/>
          <w:color w:val="auto"/>
          <w:kern w:val="0"/>
          <w:sz w:val="32"/>
          <w:szCs w:val="32"/>
          <w:highlight w:val="none"/>
        </w:rPr>
        <w:t>立案庭、执行局、审判管理办公室、政治部、</w:t>
      </w:r>
      <w:r>
        <w:rPr>
          <w:rFonts w:hint="eastAsia" w:ascii="仿宋_GB2312" w:hAnsi="Times New Roman" w:eastAsia="仿宋_GB2312"/>
          <w:color w:val="auto"/>
          <w:kern w:val="0"/>
          <w:sz w:val="32"/>
          <w:szCs w:val="32"/>
          <w:highlight w:val="none"/>
          <w:lang w:eastAsia="zh-CN"/>
        </w:rPr>
        <w:t>督察处</w:t>
      </w:r>
      <w:r>
        <w:rPr>
          <w:rFonts w:hint="eastAsia" w:ascii="仿宋_GB2312" w:hAnsi="Times New Roman" w:eastAsia="仿宋_GB2312"/>
          <w:color w:val="auto"/>
          <w:kern w:val="0"/>
          <w:sz w:val="32"/>
          <w:szCs w:val="32"/>
          <w:highlight w:val="none"/>
        </w:rPr>
        <w:t>、办公室、</w:t>
      </w:r>
      <w:r>
        <w:rPr>
          <w:rFonts w:hint="eastAsia" w:ascii="仿宋_GB2312" w:eastAsia="仿宋_GB2312"/>
          <w:color w:val="auto"/>
          <w:kern w:val="0"/>
          <w:sz w:val="32"/>
          <w:szCs w:val="32"/>
          <w:highlight w:val="none"/>
          <w:lang w:eastAsia="zh-CN"/>
        </w:rPr>
        <w:t>机关党委、</w:t>
      </w:r>
      <w:r>
        <w:rPr>
          <w:rFonts w:hint="eastAsia" w:ascii="仿宋_GB2312" w:hAnsi="Times New Roman" w:eastAsia="仿宋_GB2312"/>
          <w:color w:val="auto"/>
          <w:kern w:val="0"/>
          <w:sz w:val="32"/>
          <w:szCs w:val="32"/>
          <w:highlight w:val="none"/>
        </w:rPr>
        <w:t>行政装备处、研究室、技术室、司法警察支队等</w:t>
      </w:r>
      <w:r>
        <w:rPr>
          <w:rFonts w:ascii="仿宋_GB2312" w:hAnsi="Times New Roman" w:eastAsia="仿宋_GB2312"/>
          <w:color w:val="auto"/>
          <w:kern w:val="0"/>
          <w:sz w:val="32"/>
          <w:szCs w:val="32"/>
          <w:highlight w:val="none"/>
        </w:rPr>
        <w:t xml:space="preserve"> 1</w:t>
      </w:r>
      <w:r>
        <w:rPr>
          <w:rFonts w:hint="eastAsia" w:ascii="仿宋_GB2312" w:eastAsia="仿宋_GB2312"/>
          <w:color w:val="auto"/>
          <w:kern w:val="0"/>
          <w:sz w:val="32"/>
          <w:szCs w:val="32"/>
          <w:highlight w:val="none"/>
          <w:lang w:val="en-US" w:eastAsia="zh-CN"/>
        </w:rPr>
        <w:t>9</w:t>
      </w:r>
      <w:r>
        <w:rPr>
          <w:rFonts w:ascii="仿宋_GB2312" w:hAnsi="Times New Roman" w:eastAsia="仿宋_GB2312"/>
          <w:color w:val="auto"/>
          <w:kern w:val="0"/>
          <w:sz w:val="32"/>
          <w:szCs w:val="32"/>
          <w:highlight w:val="none"/>
        </w:rPr>
        <w:t xml:space="preserve"> </w:t>
      </w:r>
      <w:r>
        <w:rPr>
          <w:rFonts w:hint="eastAsia" w:ascii="仿宋_GB2312" w:hAnsi="Times New Roman" w:eastAsia="仿宋_GB2312"/>
          <w:color w:val="auto"/>
          <w:kern w:val="0"/>
          <w:sz w:val="32"/>
          <w:szCs w:val="32"/>
          <w:highlight w:val="none"/>
        </w:rPr>
        <w:t>个职能机构。</w:t>
      </w:r>
    </w:p>
    <w:p>
      <w:pPr>
        <w:keepNext w:val="0"/>
        <w:keepLines w:val="0"/>
        <w:pageBreakBefore w:val="0"/>
        <w:kinsoku/>
        <w:wordWrap/>
        <w:overflowPunct/>
        <w:topLinePunct w:val="0"/>
        <w:autoSpaceDN/>
        <w:bidi w:val="0"/>
        <w:adjustRightInd/>
        <w:snapToGrid/>
        <w:spacing w:line="560" w:lineRule="exact"/>
        <w:jc w:val="both"/>
        <w:textAlignment w:val="auto"/>
        <w:rPr>
          <w:rFonts w:hint="eastAsia" w:ascii="黑体" w:hAnsi="ˎ̥" w:eastAsia="黑体"/>
          <w:sz w:val="32"/>
          <w:szCs w:val="32"/>
        </w:rPr>
      </w:pPr>
      <w:bookmarkStart w:id="19" w:name="_Toc15521_WPSOffice_Level1"/>
      <w:bookmarkStart w:id="20" w:name="_Toc30451_WPSOffice_Level1"/>
      <w:bookmarkStart w:id="21" w:name="_Toc30690_WPSOffice_Level1"/>
      <w:bookmarkStart w:id="22" w:name="_Toc28253_WPSOffice_Level1"/>
      <w:bookmarkStart w:id="23" w:name="_Toc8164_WPSOffice_Level1"/>
      <w:bookmarkStart w:id="24" w:name="_Toc6234_WPSOffice_Level1"/>
      <w:bookmarkStart w:id="25" w:name="_Toc32472_WPSOffice_Level2"/>
      <w:bookmarkStart w:id="26" w:name="_Toc4029_WPSOffice_Level2"/>
      <w:bookmarkStart w:id="27" w:name="_Toc32695_WPSOffice_Level2"/>
      <w:bookmarkStart w:id="28" w:name="_Toc6211_WPSOffice_Level2"/>
      <w:bookmarkStart w:id="29" w:name="_Toc11518_WPSOffice_Level2"/>
      <w:bookmarkStart w:id="30" w:name="_Toc8867_WPSOffice_Level2"/>
    </w:p>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ˎ̥" w:eastAsia="黑体"/>
          <w:sz w:val="32"/>
          <w:szCs w:val="32"/>
        </w:rPr>
      </w:pP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年度部门决算公开报表</w:t>
      </w:r>
      <w:bookmarkEnd w:id="19"/>
      <w:bookmarkEnd w:id="20"/>
      <w:bookmarkEnd w:id="21"/>
      <w:bookmarkEnd w:id="22"/>
      <w:bookmarkEnd w:id="23"/>
      <w:bookmarkEnd w:id="24"/>
    </w:p>
    <w:p>
      <w:pPr>
        <w:keepNext w:val="0"/>
        <w:keepLines w:val="0"/>
        <w:pageBreakBefore w:val="0"/>
        <w:kinsoku/>
        <w:wordWrap/>
        <w:overflowPunct/>
        <w:topLinePunct w:val="0"/>
        <w:autoSpaceDN/>
        <w:bidi w:val="0"/>
        <w:adjustRightInd/>
        <w:snapToGrid/>
        <w:spacing w:line="560" w:lineRule="exact"/>
        <w:ind w:firstLine="645"/>
        <w:textAlignment w:val="auto"/>
        <w:rPr>
          <w:rFonts w:hint="eastAsia" w:ascii="黑体" w:hAnsi="黑体" w:eastAsia="黑体" w:cs="黑体"/>
          <w:sz w:val="32"/>
          <w:szCs w:val="32"/>
        </w:rPr>
      </w:pPr>
    </w:p>
    <w:p>
      <w:pPr>
        <w:keepNext w:val="0"/>
        <w:keepLines w:val="0"/>
        <w:pageBreakBefore w:val="0"/>
        <w:kinsoku/>
        <w:wordWrap/>
        <w:overflowPunct/>
        <w:topLinePunct w:val="0"/>
        <w:autoSpaceDN/>
        <w:bidi w:val="0"/>
        <w:adjustRightInd/>
        <w:snapToGrid/>
        <w:spacing w:line="560" w:lineRule="exact"/>
        <w:ind w:firstLine="645"/>
        <w:textAlignment w:val="auto"/>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5"/>
      <w:bookmarkEnd w:id="26"/>
      <w:bookmarkEnd w:id="27"/>
      <w:bookmarkEnd w:id="28"/>
      <w:bookmarkEnd w:id="29"/>
      <w:bookmarkEnd w:id="30"/>
    </w:p>
    <w:p>
      <w:pPr>
        <w:keepNext w:val="0"/>
        <w:keepLines w:val="0"/>
        <w:pageBreakBefore w:val="0"/>
        <w:kinsoku/>
        <w:wordWrap/>
        <w:overflowPunct/>
        <w:topLinePunct w:val="0"/>
        <w:autoSpaceDN/>
        <w:bidi w:val="0"/>
        <w:adjustRightInd/>
        <w:snapToGrid/>
        <w:spacing w:line="560" w:lineRule="exact"/>
        <w:ind w:firstLine="645"/>
        <w:textAlignment w:val="auto"/>
        <w:rPr>
          <w:rFonts w:hint="eastAsia" w:ascii="黑体" w:hAnsi="黑体" w:eastAsia="黑体" w:cs="黑体"/>
          <w:sz w:val="32"/>
          <w:szCs w:val="32"/>
        </w:rPr>
      </w:pPr>
      <w:bookmarkStart w:id="31" w:name="_Toc30334_WPSOffice_Level2"/>
      <w:bookmarkStart w:id="32" w:name="_Toc28622_WPSOffice_Level2"/>
      <w:bookmarkStart w:id="33" w:name="_Toc26621_WPSOffice_Level2"/>
      <w:bookmarkStart w:id="34" w:name="_Toc23139_WPSOffice_Level2"/>
      <w:bookmarkStart w:id="35" w:name="_Toc25608_WPSOffice_Level2"/>
      <w:bookmarkStart w:id="36" w:name="_Toc14349_WPSOffice_Level2"/>
      <w:r>
        <w:rPr>
          <w:rFonts w:hint="eastAsia" w:ascii="黑体" w:hAnsi="黑体" w:eastAsia="黑体" w:cs="黑体"/>
          <w:sz w:val="32"/>
          <w:szCs w:val="32"/>
        </w:rPr>
        <w:t>二、收入决算公开表</w:t>
      </w:r>
      <w:bookmarkEnd w:id="31"/>
      <w:bookmarkEnd w:id="32"/>
      <w:bookmarkEnd w:id="33"/>
      <w:bookmarkEnd w:id="34"/>
      <w:bookmarkEnd w:id="35"/>
      <w:bookmarkEnd w:id="36"/>
      <w:bookmarkStart w:id="37" w:name="_Toc14658_WPSOffice_Level2"/>
      <w:bookmarkStart w:id="38" w:name="_Toc17858_WPSOffice_Level2"/>
      <w:bookmarkStart w:id="39" w:name="_Toc5489_WPSOffice_Level2"/>
      <w:bookmarkStart w:id="40" w:name="_Toc13854_WPSOffice_Level2"/>
      <w:bookmarkStart w:id="41" w:name="_Toc17626_WPSOffice_Level2"/>
      <w:bookmarkStart w:id="42" w:name="_Toc3262_WPSOffice_Level2"/>
    </w:p>
    <w:p>
      <w:pPr>
        <w:keepNext w:val="0"/>
        <w:keepLines w:val="0"/>
        <w:pageBreakBefore w:val="0"/>
        <w:kinsoku/>
        <w:wordWrap/>
        <w:overflowPunct/>
        <w:topLinePunct w:val="0"/>
        <w:autoSpaceDN/>
        <w:bidi w:val="0"/>
        <w:adjustRightInd/>
        <w:snapToGrid/>
        <w:spacing w:line="560" w:lineRule="exact"/>
        <w:ind w:firstLine="645"/>
        <w:textAlignment w:val="auto"/>
        <w:rPr>
          <w:rFonts w:hint="eastAsia" w:ascii="黑体" w:hAnsi="黑体" w:eastAsia="黑体" w:cs="黑体"/>
          <w:sz w:val="32"/>
          <w:szCs w:val="32"/>
        </w:rPr>
      </w:pPr>
      <w:r>
        <w:rPr>
          <w:rFonts w:hint="eastAsia" w:ascii="黑体" w:hAnsi="黑体" w:eastAsia="黑体" w:cs="黑体"/>
          <w:sz w:val="32"/>
          <w:szCs w:val="32"/>
        </w:rPr>
        <w:t>三、支出决算公开表</w:t>
      </w:r>
      <w:bookmarkEnd w:id="37"/>
      <w:bookmarkEnd w:id="38"/>
      <w:bookmarkEnd w:id="39"/>
      <w:bookmarkEnd w:id="40"/>
      <w:bookmarkEnd w:id="41"/>
      <w:bookmarkEnd w:id="42"/>
      <w:bookmarkStart w:id="43" w:name="_Toc13701_WPSOffice_Level2"/>
      <w:bookmarkStart w:id="44" w:name="_Toc7988_WPSOffice_Level2"/>
      <w:bookmarkStart w:id="45" w:name="_Toc23591_WPSOffice_Level2"/>
      <w:bookmarkStart w:id="46" w:name="_Toc21415_WPSOffice_Level2"/>
      <w:bookmarkStart w:id="47" w:name="_Toc23493_WPSOffice_Level2"/>
      <w:bookmarkStart w:id="48" w:name="_Toc4265_WPSOffice_Level2"/>
    </w:p>
    <w:p>
      <w:pPr>
        <w:keepNext w:val="0"/>
        <w:keepLines w:val="0"/>
        <w:pageBreakBefore w:val="0"/>
        <w:kinsoku/>
        <w:wordWrap/>
        <w:overflowPunct/>
        <w:topLinePunct w:val="0"/>
        <w:autoSpaceDN/>
        <w:bidi w:val="0"/>
        <w:adjustRightInd/>
        <w:snapToGrid/>
        <w:spacing w:line="560" w:lineRule="exact"/>
        <w:ind w:firstLine="645"/>
        <w:textAlignment w:val="auto"/>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3"/>
      <w:bookmarkEnd w:id="44"/>
      <w:bookmarkEnd w:id="45"/>
      <w:bookmarkEnd w:id="46"/>
      <w:bookmarkEnd w:id="47"/>
      <w:bookmarkEnd w:id="48"/>
    </w:p>
    <w:p>
      <w:pPr>
        <w:keepNext w:val="0"/>
        <w:keepLines w:val="0"/>
        <w:pageBreakBefore w:val="0"/>
        <w:kinsoku/>
        <w:wordWrap/>
        <w:overflowPunct/>
        <w:topLinePunct w:val="0"/>
        <w:autoSpaceDN/>
        <w:bidi w:val="0"/>
        <w:adjustRightInd/>
        <w:snapToGrid/>
        <w:spacing w:line="560" w:lineRule="exact"/>
        <w:ind w:firstLine="645"/>
        <w:textAlignment w:val="auto"/>
        <w:rPr>
          <w:rFonts w:hint="eastAsia" w:ascii="黑体" w:hAnsi="黑体" w:eastAsia="黑体" w:cs="黑体"/>
          <w:sz w:val="32"/>
          <w:szCs w:val="32"/>
        </w:rPr>
      </w:pPr>
      <w:bookmarkStart w:id="49" w:name="_Toc25166_WPSOffice_Level2"/>
      <w:bookmarkStart w:id="50" w:name="_Toc23829_WPSOffice_Level2"/>
      <w:bookmarkStart w:id="51" w:name="_Toc7879_WPSOffice_Level2"/>
      <w:bookmarkStart w:id="52" w:name="_Toc22783_WPSOffice_Level2"/>
      <w:bookmarkStart w:id="53" w:name="_Toc2158_WPSOffice_Level2"/>
      <w:bookmarkStart w:id="54" w:name="_Toc13516_WPSOffice_Level2"/>
      <w:r>
        <w:rPr>
          <w:rFonts w:hint="eastAsia" w:ascii="黑体" w:hAnsi="黑体" w:eastAsia="黑体" w:cs="黑体"/>
          <w:sz w:val="32"/>
          <w:szCs w:val="32"/>
        </w:rPr>
        <w:t>五、一般公共预算财政拨款收入支出决算</w:t>
      </w:r>
      <w:bookmarkEnd w:id="49"/>
      <w:bookmarkEnd w:id="50"/>
      <w:bookmarkEnd w:id="51"/>
      <w:bookmarkEnd w:id="52"/>
      <w:r>
        <w:rPr>
          <w:rFonts w:hint="eastAsia" w:ascii="黑体" w:hAnsi="黑体" w:eastAsia="黑体" w:cs="黑体"/>
          <w:sz w:val="32"/>
          <w:szCs w:val="32"/>
        </w:rPr>
        <w:t>公开表</w:t>
      </w:r>
      <w:bookmarkEnd w:id="53"/>
      <w:bookmarkEnd w:id="54"/>
      <w:bookmarkStart w:id="55" w:name="_Toc5343_WPSOffice_Level2"/>
      <w:bookmarkStart w:id="56" w:name="_Toc8373_WPSOffice_Level2"/>
      <w:bookmarkStart w:id="57" w:name="_Toc2632_WPSOffice_Level2"/>
      <w:bookmarkStart w:id="58" w:name="_Toc17283_WPSOffice_Level2"/>
      <w:bookmarkStart w:id="59" w:name="_Toc25362_WPSOffice_Level2"/>
      <w:bookmarkStart w:id="60" w:name="_Toc17833_WPSOffice_Level2"/>
    </w:p>
    <w:p>
      <w:pPr>
        <w:keepNext w:val="0"/>
        <w:keepLines w:val="0"/>
        <w:pageBreakBefore w:val="0"/>
        <w:kinsoku/>
        <w:wordWrap/>
        <w:overflowPunct/>
        <w:topLinePunct w:val="0"/>
        <w:autoSpaceDN/>
        <w:bidi w:val="0"/>
        <w:adjustRightInd/>
        <w:snapToGrid/>
        <w:spacing w:line="560" w:lineRule="exact"/>
        <w:ind w:firstLine="645"/>
        <w:textAlignment w:val="auto"/>
        <w:rPr>
          <w:rFonts w:hint="eastAsia" w:ascii="黑体" w:hAnsi="黑体" w:eastAsia="黑体" w:cs="黑体"/>
          <w:sz w:val="32"/>
          <w:szCs w:val="32"/>
        </w:rPr>
      </w:pPr>
      <w:r>
        <w:rPr>
          <w:rFonts w:hint="eastAsia" w:ascii="黑体" w:hAnsi="黑体" w:eastAsia="黑体" w:cs="黑体"/>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sz w:val="32"/>
          <w:szCs w:val="32"/>
        </w:rPr>
        <w:t>公开表</w:t>
      </w:r>
    </w:p>
    <w:p>
      <w:pPr>
        <w:keepNext w:val="0"/>
        <w:keepLines w:val="0"/>
        <w:pageBreakBefore w:val="0"/>
        <w:kinsoku/>
        <w:wordWrap/>
        <w:overflowPunct/>
        <w:topLinePunct w:val="0"/>
        <w:autoSpaceDN/>
        <w:bidi w:val="0"/>
        <w:adjustRightInd/>
        <w:snapToGrid/>
        <w:spacing w:line="560" w:lineRule="exact"/>
        <w:ind w:left="1118" w:leftChars="304" w:hanging="480" w:hangingChars="150"/>
        <w:textAlignment w:val="auto"/>
        <w:rPr>
          <w:rFonts w:hint="eastAsia" w:ascii="黑体" w:hAnsi="黑体" w:eastAsia="黑体" w:cs="黑体"/>
          <w:sz w:val="32"/>
          <w:szCs w:val="32"/>
        </w:rPr>
      </w:pPr>
      <w:bookmarkStart w:id="61" w:name="_Toc5594_WPSOffice_Level2"/>
      <w:bookmarkStart w:id="62" w:name="_Toc21310_WPSOffice_Level2"/>
      <w:bookmarkStart w:id="63" w:name="_Toc13345_WPSOffice_Level2"/>
      <w:bookmarkStart w:id="64" w:name="_Toc11799_WPSOffice_Level2"/>
      <w:bookmarkStart w:id="65" w:name="_Toc1533_WPSOffice_Level2"/>
      <w:bookmarkStart w:id="66" w:name="_Toc6020_WPSOffice_Level2"/>
      <w:r>
        <w:rPr>
          <w:rFonts w:hint="eastAsia" w:ascii="黑体" w:hAnsi="黑体" w:eastAsia="黑体" w:cs="黑体"/>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sz w:val="32"/>
          <w:szCs w:val="32"/>
        </w:rPr>
        <w:t>公开表</w:t>
      </w:r>
    </w:p>
    <w:p>
      <w:pPr>
        <w:keepNext w:val="0"/>
        <w:keepLines w:val="0"/>
        <w:pageBreakBefore w:val="0"/>
        <w:kinsoku/>
        <w:wordWrap/>
        <w:overflowPunct/>
        <w:topLinePunct w:val="0"/>
        <w:autoSpaceDN/>
        <w:bidi w:val="0"/>
        <w:adjustRightInd/>
        <w:snapToGrid/>
        <w:spacing w:line="560" w:lineRule="exact"/>
        <w:ind w:left="1118" w:leftChars="304" w:hanging="480" w:hangingChars="150"/>
        <w:textAlignment w:val="auto"/>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keepNext w:val="0"/>
        <w:keepLines w:val="0"/>
        <w:pageBreakBefore w:val="0"/>
        <w:kinsoku/>
        <w:wordWrap/>
        <w:overflowPunct/>
        <w:topLinePunct w:val="0"/>
        <w:autoSpaceDN/>
        <w:bidi w:val="0"/>
        <w:adjustRightInd/>
        <w:snapToGrid/>
        <w:spacing w:line="560" w:lineRule="exact"/>
        <w:ind w:firstLine="640"/>
        <w:textAlignment w:val="auto"/>
        <w:rPr>
          <w:rFonts w:hint="eastAsia" w:ascii="黑体" w:hAnsi="黑体" w:eastAsia="黑体" w:cs="黑体"/>
          <w:sz w:val="32"/>
          <w:szCs w:val="32"/>
        </w:rPr>
      </w:pPr>
      <w:bookmarkStart w:id="67" w:name="_Toc9377_WPSOffice_Level2"/>
      <w:bookmarkStart w:id="68" w:name="_Toc1820_WPSOffice_Level2"/>
      <w:bookmarkStart w:id="69" w:name="_Toc29886_WPSOffice_Level2"/>
      <w:bookmarkStart w:id="70" w:name="_Toc19961_WPSOffice_Level2"/>
      <w:r>
        <w:rPr>
          <w:rFonts w:hint="eastAsia" w:ascii="黑体" w:hAnsi="黑体" w:eastAsia="黑体" w:cs="黑体"/>
          <w:sz w:val="32"/>
          <w:szCs w:val="32"/>
        </w:rPr>
        <w:t>九、财政拨款“三公”经费支出决算</w:t>
      </w:r>
      <w:bookmarkEnd w:id="67"/>
      <w:bookmarkEnd w:id="68"/>
      <w:bookmarkEnd w:id="69"/>
      <w:bookmarkEnd w:id="70"/>
      <w:r>
        <w:rPr>
          <w:rFonts w:hint="eastAsia" w:ascii="黑体" w:hAnsi="黑体" w:eastAsia="黑体" w:cs="黑体"/>
          <w:sz w:val="32"/>
          <w:szCs w:val="32"/>
        </w:rPr>
        <w:t>公开表</w:t>
      </w:r>
    </w:p>
    <w:p>
      <w:pPr>
        <w:keepNext w:val="0"/>
        <w:keepLines w:val="0"/>
        <w:pageBreakBefore w:val="0"/>
        <w:kinsoku/>
        <w:wordWrap/>
        <w:overflowPunct/>
        <w:topLinePunct w:val="0"/>
        <w:autoSpaceDN/>
        <w:bidi w:val="0"/>
        <w:adjustRightInd/>
        <w:snapToGrid/>
        <w:spacing w:line="560" w:lineRule="exact"/>
        <w:ind w:firstLine="640"/>
        <w:textAlignment w:val="auto"/>
        <w:rPr>
          <w:rFonts w:hint="eastAsia" w:ascii="仿宋" w:hAnsi="仿宋" w:eastAsia="仿宋" w:cs="仿宋"/>
          <w:w w:val="100"/>
          <w:sz w:val="32"/>
          <w:szCs w:val="32"/>
        </w:rPr>
      </w:pPr>
      <w:r>
        <w:rPr>
          <w:rFonts w:hint="eastAsia" w:ascii="仿宋" w:hAnsi="仿宋" w:eastAsia="仿宋" w:cs="仿宋"/>
          <w:w w:val="100"/>
          <w:sz w:val="32"/>
          <w:szCs w:val="32"/>
        </w:rPr>
        <w:t xml:space="preserve">以上报表见附件1。   </w:t>
      </w:r>
    </w:p>
    <w:p>
      <w:pPr>
        <w:keepNext w:val="0"/>
        <w:keepLines w:val="0"/>
        <w:pageBreakBefore w:val="0"/>
        <w:kinsoku/>
        <w:wordWrap/>
        <w:overflowPunct/>
        <w:topLinePunct w:val="0"/>
        <w:autoSpaceDN/>
        <w:bidi w:val="0"/>
        <w:adjustRightInd/>
        <w:snapToGrid/>
        <w:spacing w:line="560" w:lineRule="exact"/>
        <w:textAlignment w:val="auto"/>
        <w:rPr>
          <w:rFonts w:hint="eastAsia" w:ascii="黑体" w:hAnsi="黑体" w:eastAsia="黑体" w:cs="黑体"/>
          <w:sz w:val="32"/>
          <w:szCs w:val="32"/>
        </w:rPr>
      </w:pPr>
    </w:p>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ˎ̥" w:eastAsia="黑体"/>
          <w:sz w:val="32"/>
          <w:szCs w:val="32"/>
        </w:rPr>
      </w:pPr>
      <w:bookmarkStart w:id="71" w:name="_Toc4402_WPSOffice_Level1"/>
      <w:bookmarkStart w:id="72" w:name="_Toc28629_WPSOffice_Level1"/>
      <w:bookmarkStart w:id="73" w:name="_Toc27590_WPSOffice_Level1"/>
      <w:bookmarkStart w:id="74" w:name="_Toc31264_WPSOffice_Level1"/>
      <w:bookmarkStart w:id="75" w:name="_Toc29683_WPSOffice_Level1"/>
      <w:bookmarkStart w:id="76" w:name="_Toc16686_WPSOffice_Level1"/>
      <w:r>
        <w:rPr>
          <w:rFonts w:hint="eastAsia" w:ascii="黑体" w:hAnsi="ˎ̥" w:eastAsia="黑体"/>
          <w:sz w:val="32"/>
          <w:szCs w:val="32"/>
        </w:rPr>
        <w:t xml:space="preserve">第三部分  </w:t>
      </w:r>
      <w:r>
        <w:rPr>
          <w:rFonts w:hint="default" w:ascii="黑体" w:hAnsi="ˎ̥" w:eastAsia="黑体"/>
          <w:sz w:val="32"/>
          <w:szCs w:val="32"/>
          <w:lang w:val="en-US"/>
        </w:rPr>
        <w:t>2024</w:t>
      </w:r>
      <w:r>
        <w:rPr>
          <w:rFonts w:hint="eastAsia" w:ascii="黑体" w:hAnsi="ˎ̥" w:eastAsia="黑体"/>
          <w:sz w:val="32"/>
          <w:szCs w:val="32"/>
        </w:rPr>
        <w:t>年度部门决算情况说明</w:t>
      </w:r>
      <w:bookmarkEnd w:id="71"/>
      <w:bookmarkEnd w:id="72"/>
      <w:bookmarkEnd w:id="73"/>
      <w:bookmarkEnd w:id="74"/>
      <w:bookmarkEnd w:id="75"/>
      <w:bookmarkEnd w:id="76"/>
    </w:p>
    <w:p>
      <w:pPr>
        <w:keepNext w:val="0"/>
        <w:keepLines w:val="0"/>
        <w:pageBreakBefore w:val="0"/>
        <w:kinsoku/>
        <w:wordWrap/>
        <w:overflowPunct/>
        <w:topLinePunct w:val="0"/>
        <w:autoSpaceDN/>
        <w:bidi w:val="0"/>
        <w:adjustRightInd/>
        <w:snapToGrid/>
        <w:spacing w:line="560" w:lineRule="exact"/>
        <w:jc w:val="center"/>
        <w:textAlignment w:val="auto"/>
        <w:rPr>
          <w:rFonts w:hint="eastAsia" w:ascii="黑体" w:hAnsi="ˎ̥"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ˎ̥" w:eastAsia="仿宋_GB2312"/>
          <w:color w:val="auto"/>
          <w:sz w:val="32"/>
          <w:szCs w:val="32"/>
        </w:rPr>
      </w:pPr>
      <w:r>
        <w:rPr>
          <w:rFonts w:hint="eastAsia" w:ascii="黑体" w:hAnsi="黑体" w:eastAsia="黑体" w:cs="黑体"/>
          <w:bCs/>
          <w:sz w:val="32"/>
          <w:szCs w:val="32"/>
        </w:rPr>
        <w:t>一、收入支出总体情况说明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eastAsia" w:ascii="楷体_GB2312" w:hAnsi="ˎ̥" w:eastAsia="楷体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年度收入总计</w:t>
      </w:r>
      <w:r>
        <w:rPr>
          <w:rFonts w:hint="default" w:ascii="仿宋_GB2312" w:hAnsi="ˎ̥" w:eastAsia="仿宋_GB2312"/>
          <w:color w:val="auto"/>
          <w:sz w:val="32"/>
          <w:szCs w:val="32"/>
          <w:lang w:val="en-US"/>
        </w:rPr>
        <w:t>11,042.47</w:t>
      </w:r>
      <w:r>
        <w:rPr>
          <w:rFonts w:hint="eastAsia" w:ascii="仿宋_GB2312" w:hAnsi="ˎ̥" w:eastAsia="仿宋_GB2312"/>
          <w:color w:val="auto"/>
          <w:sz w:val="32"/>
          <w:szCs w:val="32"/>
        </w:rPr>
        <w:t>万元，支出总计</w:t>
      </w:r>
      <w:r>
        <w:rPr>
          <w:rFonts w:hint="default" w:ascii="仿宋_GB2312" w:hAnsi="ˎ̥" w:eastAsia="仿宋_GB2312"/>
          <w:color w:val="auto"/>
          <w:sz w:val="32"/>
          <w:szCs w:val="32"/>
          <w:lang w:val="en-US"/>
        </w:rPr>
        <w:t>11,042.47</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年度相比，收入、支出总计各减少</w:t>
      </w:r>
      <w:r>
        <w:rPr>
          <w:rFonts w:hint="eastAsia" w:ascii="仿宋_GB2312" w:hAnsi="ˎ̥" w:eastAsia="仿宋_GB2312"/>
          <w:color w:val="auto"/>
          <w:sz w:val="32"/>
          <w:szCs w:val="32"/>
          <w:lang w:val="en-US" w:eastAsia="zh-CN"/>
        </w:rPr>
        <w:t>1113.55</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9.16</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我院诉调对接服务中心大楼</w:t>
      </w:r>
      <w:r>
        <w:rPr>
          <w:rFonts w:hint="eastAsia" w:ascii="仿宋_GB2312" w:hAnsi="ˎ̥" w:eastAsia="仿宋_GB2312"/>
          <w:color w:val="auto"/>
          <w:sz w:val="32"/>
          <w:szCs w:val="32"/>
          <w:lang w:val="en-US" w:eastAsia="zh-CN"/>
        </w:rPr>
        <w:t>2024年6月已完成竣工，因此</w:t>
      </w:r>
      <w:r>
        <w:rPr>
          <w:rFonts w:hint="eastAsia" w:ascii="仿宋_GB2312" w:hAnsi="ˎ̥" w:eastAsia="仿宋_GB2312"/>
          <w:color w:val="auto"/>
          <w:sz w:val="32"/>
          <w:szCs w:val="32"/>
          <w:lang w:eastAsia="zh-CN"/>
        </w:rPr>
        <w:t>三亚市财政局拨入我院的</w:t>
      </w:r>
      <w:r>
        <w:rPr>
          <w:rFonts w:hint="eastAsia" w:ascii="仿宋_GB2312" w:hAnsi="仿宋_GB2312" w:eastAsia="仿宋_GB2312" w:cs="仿宋_GB2312"/>
          <w:color w:val="auto"/>
          <w:kern w:val="1"/>
          <w:sz w:val="32"/>
          <w:szCs w:val="32"/>
          <w:lang w:val="en-US" w:eastAsia="zh-CN"/>
        </w:rPr>
        <w:t>基建项目等资金减少较多，其他收入共减少了1188.05万元，因此支出总计也相应减少</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（一</w:t>
      </w:r>
      <w:r>
        <w:rPr>
          <w:rFonts w:ascii="楷体" w:hAnsi="楷体" w:eastAsia="楷体" w:cs="楷体"/>
          <w:sz w:val="32"/>
          <w:szCs w:val="32"/>
        </w:rPr>
        <w:t>）</w:t>
      </w:r>
      <w:r>
        <w:rPr>
          <w:rFonts w:hint="eastAsia" w:ascii="楷体" w:hAnsi="楷体" w:eastAsia="楷体" w:cs="楷体"/>
          <w:sz w:val="32"/>
          <w:szCs w:val="32"/>
        </w:rPr>
        <w:t>收入</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本年</w:t>
      </w:r>
      <w:r>
        <w:rPr>
          <w:rFonts w:ascii="仿宋_GB2312" w:hAnsi="ˎ̥" w:eastAsia="仿宋_GB2312"/>
          <w:color w:val="auto"/>
          <w:sz w:val="32"/>
          <w:szCs w:val="32"/>
        </w:rPr>
        <w:t>收入</w:t>
      </w:r>
      <w:r>
        <w:rPr>
          <w:rFonts w:hint="default" w:ascii="仿宋_GB2312" w:hAnsi="ˎ̥" w:eastAsia="仿宋_GB2312"/>
          <w:color w:val="auto"/>
          <w:sz w:val="32"/>
          <w:szCs w:val="32"/>
          <w:lang w:val="en-US"/>
        </w:rPr>
        <w:t>9,190.26</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使用非财政拨款结余</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年初结转结余</w:t>
      </w:r>
      <w:r>
        <w:rPr>
          <w:rFonts w:hint="default" w:ascii="仿宋_GB2312" w:hAnsi="ˎ̥" w:eastAsia="仿宋_GB2312"/>
          <w:color w:val="auto"/>
          <w:sz w:val="32"/>
          <w:szCs w:val="32"/>
          <w:lang w:val="en-US"/>
        </w:rPr>
        <w:t>1,852.20</w:t>
      </w:r>
      <w:r>
        <w:rPr>
          <w:rFonts w:hint="eastAsia" w:ascii="仿宋_GB2312" w:hAnsi="ˎ̥" w:eastAsia="仿宋_GB2312"/>
          <w:color w:val="auto"/>
          <w:sz w:val="32"/>
          <w:szCs w:val="32"/>
        </w:rPr>
        <w:t>万元，主要是</w:t>
      </w:r>
      <w:r>
        <w:rPr>
          <w:rFonts w:hint="eastAsia" w:ascii="仿宋_GB2312" w:hAnsi="仿宋_GB2312" w:eastAsia="仿宋_GB2312" w:cs="仿宋_GB2312"/>
          <w:color w:val="auto"/>
          <w:kern w:val="1"/>
          <w:sz w:val="32"/>
          <w:szCs w:val="32"/>
          <w:shd w:val="clear" w:color="auto" w:fill="FFFFFF"/>
          <w:lang w:val="en-US" w:eastAsia="zh-CN"/>
        </w:rPr>
        <w:t>历年来结存的项目资金，如市财政局拨入的部分项目款项结存资金及未上缴的社保、水电等综合经费</w:t>
      </w:r>
      <w:r>
        <w:rPr>
          <w:rFonts w:hint="eastAsia" w:ascii="仿宋_GB2312" w:hAnsi="ˎ̥" w:eastAsia="仿宋_GB2312"/>
          <w:color w:val="auto"/>
          <w:sz w:val="32"/>
          <w:szCs w:val="32"/>
        </w:rPr>
        <w:t>，较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年度决算数减少</w:t>
      </w:r>
      <w:r>
        <w:rPr>
          <w:rFonts w:hint="eastAsia" w:ascii="仿宋_GB2312" w:hAnsi="ˎ̥" w:eastAsia="仿宋_GB2312"/>
          <w:color w:val="auto"/>
          <w:sz w:val="32"/>
          <w:szCs w:val="32"/>
          <w:lang w:val="en-US" w:eastAsia="zh-CN"/>
        </w:rPr>
        <w:t>216.13</w:t>
      </w:r>
      <w:r>
        <w:rPr>
          <w:rFonts w:hint="eastAsia" w:ascii="仿宋_GB2312" w:hAnsi="ˎ̥" w:eastAsia="仿宋_GB2312"/>
          <w:color w:val="auto"/>
          <w:sz w:val="32"/>
          <w:szCs w:val="32"/>
        </w:rPr>
        <w:t>万元，下降</w:t>
      </w:r>
      <w:r>
        <w:rPr>
          <w:rFonts w:hint="eastAsia" w:ascii="仿宋_GB2312" w:hAnsi="ˎ̥" w:eastAsia="仿宋_GB2312"/>
          <w:color w:val="auto"/>
          <w:sz w:val="32"/>
          <w:szCs w:val="32"/>
          <w:lang w:val="en-US" w:eastAsia="zh-CN"/>
        </w:rPr>
        <w:t>10.45</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eastAsia="zh-CN"/>
        </w:rPr>
        <w:t>支付了一部分结存的项目资金，同时上缴了部分存量资金至国库</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（二</w:t>
      </w:r>
      <w:r>
        <w:rPr>
          <w:rFonts w:ascii="楷体" w:hAnsi="楷体" w:eastAsia="楷体" w:cs="楷体"/>
          <w:sz w:val="32"/>
          <w:szCs w:val="32"/>
        </w:rPr>
        <w:t>）</w:t>
      </w:r>
      <w:r>
        <w:rPr>
          <w:rFonts w:hint="eastAsia" w:ascii="楷体" w:hAnsi="楷体" w:eastAsia="楷体" w:cs="楷体"/>
          <w:sz w:val="32"/>
          <w:szCs w:val="32"/>
        </w:rPr>
        <w:t>支出</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9,008.37</w:t>
      </w:r>
      <w:r>
        <w:rPr>
          <w:rFonts w:hint="eastAsia" w:ascii="仿宋_GB2312" w:hAnsi="ˎ̥" w:eastAsia="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ˎ̥" w:eastAsia="仿宋_GB2312"/>
          <w:color w:val="auto"/>
          <w:sz w:val="32"/>
          <w:szCs w:val="32"/>
        </w:rPr>
      </w:pPr>
      <w:r>
        <w:rPr>
          <w:rFonts w:hint="eastAsia" w:ascii="仿宋_GB2312" w:hAnsi="ˎ̥" w:eastAsia="仿宋_GB2312"/>
          <w:color w:val="auto"/>
          <w:sz w:val="32"/>
          <w:szCs w:val="32"/>
        </w:rPr>
        <w:t>结余分配</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w:t>
      </w:r>
      <w:r>
        <w:rPr>
          <w:rFonts w:hint="eastAsia" w:ascii="仿宋_GB2312" w:hAnsi="ˎ̥" w:eastAsia="仿宋_GB2312"/>
          <w:color w:val="auto"/>
          <w:sz w:val="32"/>
          <w:szCs w:val="32"/>
          <w:lang w:eastAsia="zh-CN"/>
        </w:rPr>
        <w:t>持平</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年末结转结余</w:t>
      </w:r>
      <w:r>
        <w:rPr>
          <w:rFonts w:hint="default" w:ascii="仿宋_GB2312" w:hAnsi="ˎ̥" w:eastAsia="仿宋_GB2312"/>
          <w:color w:val="auto"/>
          <w:sz w:val="32"/>
          <w:szCs w:val="32"/>
          <w:lang w:val="en-US"/>
        </w:rPr>
        <w:t>2,034.10</w:t>
      </w:r>
      <w:r>
        <w:rPr>
          <w:rFonts w:hint="eastAsia" w:ascii="仿宋_GB2312" w:hAnsi="ˎ̥" w:eastAsia="仿宋_GB2312"/>
          <w:color w:val="auto"/>
          <w:sz w:val="32"/>
          <w:szCs w:val="32"/>
        </w:rPr>
        <w:t>万元，主要是</w:t>
      </w:r>
      <w:r>
        <w:rPr>
          <w:rFonts w:hint="eastAsia" w:ascii="仿宋_GB2312" w:hAnsi="仿宋_GB2312" w:eastAsia="仿宋_GB2312" w:cs="仿宋_GB2312"/>
          <w:color w:val="auto"/>
          <w:kern w:val="1"/>
          <w:sz w:val="32"/>
          <w:szCs w:val="32"/>
          <w:shd w:val="clear" w:color="auto" w:fill="FFFFFF"/>
          <w:lang w:val="en-US" w:eastAsia="zh-CN"/>
        </w:rPr>
        <w:t>历年来结存的项目资金，如市财政局拨入的部分项目款项结存资金及未上缴的社保、水电等综合经费</w:t>
      </w:r>
      <w:r>
        <w:rPr>
          <w:rFonts w:hint="eastAsia" w:ascii="仿宋_GB2312" w:hAnsi="ˎ̥" w:eastAsia="仿宋_GB2312"/>
          <w:color w:val="auto"/>
          <w:sz w:val="32"/>
          <w:szCs w:val="32"/>
        </w:rPr>
        <w:t>，较</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年度决算数增加</w:t>
      </w:r>
      <w:r>
        <w:rPr>
          <w:rFonts w:hint="eastAsia" w:ascii="仿宋_GB2312" w:hAnsi="ˎ̥" w:eastAsia="仿宋_GB2312"/>
          <w:color w:val="auto"/>
          <w:sz w:val="32"/>
          <w:szCs w:val="32"/>
          <w:lang w:val="en-US" w:eastAsia="zh-CN"/>
        </w:rPr>
        <w:t>163.43</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8.74</w:t>
      </w:r>
      <w:r>
        <w:rPr>
          <w:rFonts w:hint="eastAsia" w:ascii="仿宋_GB2312" w:hAnsi="ˎ̥" w:eastAsia="仿宋_GB2312"/>
          <w:color w:val="auto"/>
          <w:sz w:val="32"/>
          <w:szCs w:val="32"/>
        </w:rPr>
        <w:t>%，主要原因是</w:t>
      </w:r>
      <w:r>
        <w:rPr>
          <w:rFonts w:hint="eastAsia" w:ascii="仿宋_GB2312" w:hAnsi="ˎ̥" w:eastAsia="仿宋_GB2312"/>
          <w:color w:val="auto"/>
          <w:sz w:val="32"/>
          <w:szCs w:val="32"/>
          <w:lang w:val="en-US" w:eastAsia="zh-CN"/>
        </w:rPr>
        <w:t>2024年收三亚市财政局拨入诉调对接服务中心综合运转经费429万元，年底仍有部分结余资金未支出</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w:t>
      </w:r>
      <w:r>
        <w:rPr>
          <w:rFonts w:hint="eastAsia" w:ascii="仿宋_GB2312" w:hAnsi="ˎ̥" w:eastAsia="仿宋_GB2312"/>
          <w:color w:val="auto"/>
          <w:sz w:val="32"/>
          <w:szCs w:val="32"/>
        </w:rPr>
        <w:t xml:space="preserve"> 本年收入</w:t>
      </w:r>
      <w:r>
        <w:rPr>
          <w:rFonts w:hint="default" w:ascii="仿宋_GB2312" w:hAnsi="ˎ̥" w:eastAsia="仿宋_GB2312"/>
          <w:color w:val="auto"/>
          <w:sz w:val="32"/>
          <w:szCs w:val="32"/>
          <w:lang w:val="en-US"/>
        </w:rPr>
        <w:t>9,190.26</w:t>
      </w:r>
      <w:r>
        <w:rPr>
          <w:rFonts w:hint="eastAsia" w:ascii="仿宋_GB2312" w:hAnsi="ˎ̥" w:eastAsia="仿宋_GB2312"/>
          <w:color w:val="auto"/>
          <w:sz w:val="32"/>
          <w:szCs w:val="32"/>
        </w:rPr>
        <w:t>万元，其中：财政拨款收入</w:t>
      </w:r>
      <w:r>
        <w:rPr>
          <w:rFonts w:hint="default" w:ascii="仿宋_GB2312" w:hAnsi="ˎ̥" w:eastAsia="仿宋_GB2312"/>
          <w:color w:val="auto"/>
          <w:sz w:val="32"/>
          <w:szCs w:val="32"/>
          <w:lang w:val="en-US"/>
        </w:rPr>
        <w:t>7,476.54</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81.35</w:t>
      </w:r>
      <w:r>
        <w:rPr>
          <w:rFonts w:hint="eastAsia" w:ascii="仿宋_GB2312" w:hAnsi="ˎ̥" w:eastAsia="仿宋_GB2312"/>
          <w:color w:val="auto"/>
          <w:sz w:val="32"/>
          <w:szCs w:val="32"/>
        </w:rPr>
        <w:t>%；上级补助收入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%；事业收入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%；经营收入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%；附属单位上缴收入</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%；其他收入</w:t>
      </w:r>
      <w:r>
        <w:rPr>
          <w:rFonts w:hint="default" w:ascii="仿宋_GB2312" w:hAnsi="ˎ̥" w:eastAsia="仿宋_GB2312"/>
          <w:color w:val="auto"/>
          <w:sz w:val="32"/>
          <w:szCs w:val="32"/>
          <w:lang w:val="en-US"/>
        </w:rPr>
        <w:t>1,713.73</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18.65</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412" w:leftChars="196"/>
        <w:textAlignment w:val="auto"/>
        <w:rPr>
          <w:rFonts w:hint="eastAsia" w:ascii="黑体" w:hAnsi="黑体" w:eastAsia="黑体" w:cs="黑体"/>
          <w:bCs/>
          <w:sz w:val="32"/>
          <w:szCs w:val="32"/>
        </w:rPr>
      </w:pPr>
      <w:r>
        <w:rPr>
          <w:rFonts w:hint="eastAsia" w:ascii="仿宋_GB2312" w:hAnsi="ˎ̥" w:eastAsia="仿宋_GB2312"/>
          <w:sz w:val="32"/>
          <w:szCs w:val="32"/>
        </w:rPr>
        <w:t xml:space="preserve"> </w:t>
      </w:r>
      <w:r>
        <w:rPr>
          <w:rFonts w:hint="eastAsia" w:ascii="黑体" w:hAnsi="黑体" w:eastAsia="黑体" w:cs="黑体"/>
          <w:bCs/>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本年支出</w:t>
      </w:r>
      <w:r>
        <w:rPr>
          <w:rFonts w:hint="default" w:ascii="仿宋_GB2312" w:hAnsi="ˎ̥" w:eastAsia="仿宋_GB2312"/>
          <w:color w:val="auto"/>
          <w:sz w:val="32"/>
          <w:szCs w:val="32"/>
          <w:lang w:val="en-US"/>
        </w:rPr>
        <w:t>9,008.37</w:t>
      </w:r>
      <w:r>
        <w:rPr>
          <w:rFonts w:hint="eastAsia" w:ascii="仿宋_GB2312" w:hAnsi="ˎ̥" w:eastAsia="仿宋_GB2312"/>
          <w:color w:val="auto"/>
          <w:sz w:val="32"/>
          <w:szCs w:val="32"/>
        </w:rPr>
        <w:t>万元，其中：基本支出</w:t>
      </w:r>
      <w:r>
        <w:rPr>
          <w:rFonts w:hint="default" w:ascii="仿宋_GB2312" w:hAnsi="ˎ̥" w:eastAsia="仿宋_GB2312"/>
          <w:color w:val="auto"/>
          <w:sz w:val="32"/>
          <w:szCs w:val="32"/>
          <w:lang w:val="en-US"/>
        </w:rPr>
        <w:t>4,644.82</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51.56</w:t>
      </w:r>
      <w:r>
        <w:rPr>
          <w:rFonts w:hint="eastAsia" w:ascii="仿宋_GB2312" w:hAnsi="ˎ̥" w:eastAsia="仿宋_GB2312"/>
          <w:color w:val="auto"/>
          <w:sz w:val="32"/>
          <w:szCs w:val="32"/>
        </w:rPr>
        <w:t>%；项目支出</w:t>
      </w:r>
      <w:r>
        <w:rPr>
          <w:rFonts w:hint="default" w:ascii="仿宋_GB2312" w:hAnsi="ˎ̥" w:eastAsia="仿宋_GB2312"/>
          <w:color w:val="auto"/>
          <w:sz w:val="32"/>
          <w:szCs w:val="32"/>
          <w:lang w:val="en-US"/>
        </w:rPr>
        <w:t>4,363.55</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48.44</w:t>
      </w:r>
      <w:r>
        <w:rPr>
          <w:rFonts w:hint="eastAsia" w:ascii="仿宋_GB2312" w:hAnsi="ˎ̥" w:eastAsia="仿宋_GB2312"/>
          <w:color w:val="auto"/>
          <w:sz w:val="32"/>
          <w:szCs w:val="32"/>
        </w:rPr>
        <w:t>%；上缴上级支出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%；经营支出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%；对附属单位补助支出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年度财政拨款收入</w:t>
      </w:r>
      <w:r>
        <w:rPr>
          <w:rFonts w:hint="default" w:ascii="仿宋_GB2312" w:hAnsi="ˎ̥" w:eastAsia="仿宋_GB2312"/>
          <w:color w:val="auto"/>
          <w:sz w:val="32"/>
          <w:szCs w:val="32"/>
          <w:lang w:val="en-US"/>
        </w:rPr>
        <w:t>7,476.54</w:t>
      </w:r>
      <w:r>
        <w:rPr>
          <w:rFonts w:hint="eastAsia" w:ascii="仿宋_GB2312" w:hAnsi="ˎ̥" w:eastAsia="仿宋_GB2312"/>
          <w:color w:val="auto"/>
          <w:sz w:val="32"/>
          <w:szCs w:val="32"/>
        </w:rPr>
        <w:t>万元，支出</w:t>
      </w:r>
      <w:r>
        <w:rPr>
          <w:rFonts w:hint="default" w:ascii="仿宋_GB2312" w:hAnsi="ˎ̥" w:eastAsia="仿宋_GB2312"/>
          <w:color w:val="auto"/>
          <w:sz w:val="32"/>
          <w:szCs w:val="32"/>
          <w:lang w:val="en-US"/>
        </w:rPr>
        <w:t>7,476.54</w:t>
      </w:r>
      <w:r>
        <w:rPr>
          <w:rFonts w:hint="eastAsia" w:ascii="仿宋_GB2312" w:hAnsi="ˎ̥" w:eastAsia="仿宋_GB2312"/>
          <w:color w:val="auto"/>
          <w:sz w:val="32"/>
          <w:szCs w:val="32"/>
        </w:rPr>
        <w:t>万元。与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年度相比，财政拨款收入增加</w:t>
      </w:r>
      <w:r>
        <w:rPr>
          <w:rFonts w:hint="eastAsia" w:ascii="仿宋_GB2312" w:hAnsi="ˎ̥" w:eastAsia="仿宋_GB2312"/>
          <w:color w:val="auto"/>
          <w:sz w:val="32"/>
          <w:szCs w:val="32"/>
          <w:lang w:val="en-US" w:eastAsia="zh-CN"/>
        </w:rPr>
        <w:t>290.63</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4.04</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eastAsia="zh-CN"/>
        </w:rPr>
        <w:t>聘用制书记员管理及综合运行经费有所增加；二是一次性项目预算经费有所增加，如新增</w:t>
      </w:r>
      <w:r>
        <w:rPr>
          <w:rFonts w:hint="eastAsia" w:ascii="仿宋_GB2312" w:hAnsi="仿宋_GB2312" w:eastAsia="仿宋_GB2312" w:cs="仿宋_GB2312"/>
          <w:color w:val="auto"/>
          <w:kern w:val="1"/>
          <w:sz w:val="32"/>
          <w:szCs w:val="32"/>
        </w:rPr>
        <w:t>诉调对接服务中心办公家具购置</w:t>
      </w:r>
      <w:r>
        <w:rPr>
          <w:rFonts w:hint="eastAsia" w:ascii="仿宋_GB2312" w:hAnsi="仿宋_GB2312" w:eastAsia="仿宋_GB2312" w:cs="仿宋_GB2312"/>
          <w:color w:val="auto"/>
          <w:kern w:val="1"/>
          <w:sz w:val="32"/>
          <w:szCs w:val="32"/>
          <w:lang w:eastAsia="zh-CN"/>
        </w:rPr>
        <w:t>、人才住房补贴等项目</w:t>
      </w:r>
      <w:r>
        <w:rPr>
          <w:rFonts w:hint="eastAsia" w:ascii="仿宋_GB2312" w:hAnsi="ˎ̥" w:eastAsia="仿宋_GB2312"/>
          <w:color w:val="auto"/>
          <w:sz w:val="32"/>
          <w:szCs w:val="32"/>
        </w:rPr>
        <w:t>。支出增加</w:t>
      </w:r>
      <w:r>
        <w:rPr>
          <w:rFonts w:hint="eastAsia" w:ascii="仿宋_GB2312" w:hAnsi="ˎ̥" w:eastAsia="仿宋_GB2312"/>
          <w:color w:val="auto"/>
          <w:sz w:val="32"/>
          <w:szCs w:val="32"/>
          <w:lang w:val="en-US" w:eastAsia="zh-CN"/>
        </w:rPr>
        <w:t>290.63</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4.04</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eastAsia="zh-CN"/>
        </w:rPr>
        <w:t>聘用制书记员管理及综合运行经费</w:t>
      </w:r>
      <w:r>
        <w:rPr>
          <w:rFonts w:hint="eastAsia" w:ascii="仿宋_GB2312" w:hAnsi="仿宋_GB2312" w:eastAsia="仿宋_GB2312" w:cs="仿宋_GB2312"/>
          <w:color w:val="auto"/>
          <w:kern w:val="1"/>
          <w:sz w:val="32"/>
          <w:szCs w:val="32"/>
          <w:lang w:val="en-US" w:eastAsia="zh-CN"/>
        </w:rPr>
        <w:t>开支增长</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一次性项目支出有所增加</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财政拨款年初结转结余</w:t>
      </w:r>
      <w:r>
        <w:rPr>
          <w:rFonts w:hint="default" w:ascii="仿宋_GB2312" w:hAnsi="ˎ̥" w:eastAsia="仿宋_GB2312"/>
          <w:color w:val="auto"/>
          <w:sz w:val="32"/>
          <w:szCs w:val="32"/>
          <w:lang w:val="en-US"/>
        </w:rPr>
        <w:t>352.14</w:t>
      </w:r>
      <w:r>
        <w:rPr>
          <w:rFonts w:hint="eastAsia" w:ascii="仿宋_GB2312" w:hAnsi="ˎ̥" w:eastAsia="仿宋_GB2312"/>
          <w:color w:val="auto"/>
          <w:sz w:val="32"/>
          <w:szCs w:val="32"/>
        </w:rPr>
        <w:t>万元，主要是</w:t>
      </w:r>
      <w:r>
        <w:rPr>
          <w:rFonts w:hint="eastAsia" w:ascii="仿宋_GB2312" w:hAnsi="仿宋_GB2312" w:eastAsia="仿宋_GB2312" w:cs="仿宋_GB2312"/>
          <w:color w:val="auto"/>
          <w:kern w:val="1"/>
          <w:sz w:val="32"/>
          <w:szCs w:val="32"/>
          <w:lang w:eastAsia="zh-CN"/>
        </w:rPr>
        <w:t>项目支出及日常公用经费</w:t>
      </w:r>
      <w:r>
        <w:rPr>
          <w:rFonts w:ascii="仿宋_GB2312" w:hAnsi="仿宋_GB2312" w:eastAsia="仿宋_GB2312" w:cs="仿宋_GB2312"/>
          <w:color w:val="auto"/>
          <w:kern w:val="1"/>
          <w:sz w:val="32"/>
          <w:szCs w:val="32"/>
        </w:rPr>
        <w:t>的结转结余，</w:t>
      </w:r>
      <w:r>
        <w:rPr>
          <w:rFonts w:hint="eastAsia" w:ascii="仿宋_GB2312" w:hAnsi="仿宋_GB2312" w:eastAsia="仿宋_GB2312" w:cs="仿宋_GB2312"/>
          <w:color w:val="auto"/>
          <w:kern w:val="1"/>
          <w:sz w:val="32"/>
          <w:szCs w:val="32"/>
          <w:lang w:eastAsia="zh-CN"/>
        </w:rPr>
        <w:t>与</w:t>
      </w:r>
      <w:r>
        <w:rPr>
          <w:rFonts w:ascii="仿宋_GB2312" w:hAnsi="仿宋_GB2312" w:eastAsia="仿宋_GB2312" w:cs="仿宋_GB2312"/>
          <w:color w:val="auto"/>
          <w:kern w:val="1"/>
          <w:sz w:val="32"/>
          <w:szCs w:val="32"/>
        </w:rPr>
        <w:t>202</w:t>
      </w:r>
      <w:r>
        <w:rPr>
          <w:rFonts w:hint="eastAsia" w:ascii="仿宋_GB2312" w:hAnsi="仿宋_GB2312" w:eastAsia="仿宋_GB2312" w:cs="仿宋_GB2312"/>
          <w:color w:val="auto"/>
          <w:kern w:val="1"/>
          <w:sz w:val="32"/>
          <w:szCs w:val="32"/>
          <w:lang w:val="en-US" w:eastAsia="zh-CN"/>
        </w:rPr>
        <w:t>3</w:t>
      </w:r>
      <w:r>
        <w:rPr>
          <w:rFonts w:ascii="仿宋_GB2312" w:hAnsi="仿宋_GB2312" w:eastAsia="仿宋_GB2312" w:cs="仿宋_GB2312"/>
          <w:color w:val="auto"/>
          <w:kern w:val="1"/>
          <w:sz w:val="32"/>
          <w:szCs w:val="32"/>
        </w:rPr>
        <w:t>年度决算数</w:t>
      </w:r>
      <w:r>
        <w:rPr>
          <w:rFonts w:hint="eastAsia" w:ascii="仿宋_GB2312" w:hAnsi="仿宋_GB2312" w:eastAsia="仿宋_GB2312" w:cs="仿宋_GB2312"/>
          <w:color w:val="auto"/>
          <w:kern w:val="1"/>
          <w:sz w:val="32"/>
          <w:szCs w:val="32"/>
          <w:lang w:eastAsia="zh-CN"/>
        </w:rPr>
        <w:t>持平</w:t>
      </w:r>
      <w:r>
        <w:rPr>
          <w:rFonts w:hint="eastAsia" w:ascii="仿宋_GB2312" w:hAnsi="ˎ̥" w:eastAsia="仿宋_GB2312"/>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color w:val="auto"/>
          <w:kern w:val="1"/>
          <w:sz w:val="32"/>
          <w:szCs w:val="32"/>
        </w:rPr>
      </w:pPr>
      <w:r>
        <w:rPr>
          <w:rFonts w:hint="eastAsia" w:ascii="仿宋_GB2312" w:hAnsi="ˎ̥" w:eastAsia="仿宋_GB2312"/>
          <w:color w:val="auto"/>
          <w:sz w:val="32"/>
          <w:szCs w:val="32"/>
        </w:rPr>
        <w:t>财政拨款年末结转结余</w:t>
      </w:r>
      <w:r>
        <w:rPr>
          <w:rFonts w:hint="default" w:ascii="仿宋_GB2312" w:hAnsi="ˎ̥" w:eastAsia="仿宋_GB2312"/>
          <w:color w:val="auto"/>
          <w:sz w:val="32"/>
          <w:szCs w:val="32"/>
          <w:lang w:val="en-US"/>
        </w:rPr>
        <w:t>352.14</w:t>
      </w:r>
      <w:r>
        <w:rPr>
          <w:rFonts w:hint="eastAsia" w:ascii="仿宋_GB2312" w:hAnsi="ˎ̥" w:eastAsia="仿宋_GB2312"/>
          <w:color w:val="auto"/>
          <w:sz w:val="32"/>
          <w:szCs w:val="32"/>
        </w:rPr>
        <w:t>万元，主要是</w:t>
      </w:r>
      <w:r>
        <w:rPr>
          <w:rFonts w:hint="eastAsia" w:ascii="仿宋_GB2312" w:hAnsi="仿宋_GB2312" w:eastAsia="仿宋_GB2312" w:cs="仿宋_GB2312"/>
          <w:color w:val="auto"/>
          <w:kern w:val="1"/>
          <w:sz w:val="32"/>
          <w:szCs w:val="32"/>
          <w:lang w:eastAsia="zh-CN"/>
        </w:rPr>
        <w:t>项目支出及日常公用经费</w:t>
      </w:r>
      <w:r>
        <w:rPr>
          <w:rFonts w:ascii="仿宋_GB2312" w:hAnsi="仿宋_GB2312" w:eastAsia="仿宋_GB2312" w:cs="仿宋_GB2312"/>
          <w:color w:val="auto"/>
          <w:kern w:val="1"/>
          <w:sz w:val="32"/>
          <w:szCs w:val="32"/>
        </w:rPr>
        <w:t>的结转结余，</w:t>
      </w:r>
      <w:r>
        <w:rPr>
          <w:rFonts w:hint="eastAsia" w:ascii="仿宋_GB2312" w:hAnsi="仿宋_GB2312" w:eastAsia="仿宋_GB2312" w:cs="仿宋_GB2312"/>
          <w:color w:val="auto"/>
          <w:kern w:val="1"/>
          <w:sz w:val="32"/>
          <w:szCs w:val="32"/>
          <w:lang w:eastAsia="zh-CN"/>
        </w:rPr>
        <w:t>与</w:t>
      </w:r>
      <w:r>
        <w:rPr>
          <w:rFonts w:ascii="仿宋_GB2312" w:hAnsi="仿宋_GB2312" w:eastAsia="仿宋_GB2312" w:cs="仿宋_GB2312"/>
          <w:color w:val="auto"/>
          <w:kern w:val="1"/>
          <w:sz w:val="32"/>
          <w:szCs w:val="32"/>
        </w:rPr>
        <w:t>202</w:t>
      </w:r>
      <w:r>
        <w:rPr>
          <w:rFonts w:hint="eastAsia" w:ascii="仿宋_GB2312" w:hAnsi="仿宋_GB2312" w:eastAsia="仿宋_GB2312" w:cs="仿宋_GB2312"/>
          <w:color w:val="auto"/>
          <w:kern w:val="1"/>
          <w:sz w:val="32"/>
          <w:szCs w:val="32"/>
          <w:lang w:val="en-US" w:eastAsia="zh-CN"/>
        </w:rPr>
        <w:t>3</w:t>
      </w:r>
      <w:r>
        <w:rPr>
          <w:rFonts w:ascii="仿宋_GB2312" w:hAnsi="仿宋_GB2312" w:eastAsia="仿宋_GB2312" w:cs="仿宋_GB2312"/>
          <w:color w:val="auto"/>
          <w:kern w:val="1"/>
          <w:sz w:val="32"/>
          <w:szCs w:val="32"/>
        </w:rPr>
        <w:t>年度年末决算数</w:t>
      </w:r>
      <w:r>
        <w:rPr>
          <w:rFonts w:hint="eastAsia" w:ascii="仿宋_GB2312" w:hAnsi="仿宋_GB2312" w:eastAsia="仿宋_GB2312" w:cs="仿宋_GB2312"/>
          <w:color w:val="auto"/>
          <w:kern w:val="1"/>
          <w:sz w:val="32"/>
          <w:szCs w:val="32"/>
          <w:lang w:eastAsia="zh-CN"/>
        </w:rPr>
        <w:t>持平。</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rPr>
      </w:pPr>
      <w:bookmarkStart w:id="77" w:name="_Toc21737_WPSOffice_Level2"/>
      <w:bookmarkStart w:id="78" w:name="_Toc19665_WPSOffice_Level2"/>
      <w:bookmarkStart w:id="79" w:name="_Toc9989_WPSOffice_Level2"/>
      <w:bookmarkStart w:id="80" w:name="_Toc17398_WPSOffice_Level2"/>
      <w:bookmarkStart w:id="81" w:name="_Toc13694_WPSOffice_Level2"/>
      <w:bookmarkStart w:id="82" w:name="_Toc23005_WPSOffice_Level2"/>
      <w:r>
        <w:rPr>
          <w:rFonts w:hint="eastAsia" w:ascii="楷体" w:hAnsi="楷体" w:eastAsia="楷体" w:cs="楷体"/>
          <w:color w:val="auto"/>
          <w:sz w:val="32"/>
          <w:szCs w:val="32"/>
        </w:rPr>
        <w:t>（一）一般公共预算财政拨款支出决算总体情况</w:t>
      </w:r>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7,476.54</w:t>
      </w:r>
      <w:r>
        <w:rPr>
          <w:rFonts w:hint="eastAsia" w:ascii="仿宋_GB2312" w:hAnsi="ˎ̥" w:eastAsia="仿宋_GB2312"/>
          <w:color w:val="auto"/>
          <w:sz w:val="32"/>
          <w:szCs w:val="32"/>
        </w:rPr>
        <w:t>万元，占本年支出合计的</w:t>
      </w:r>
      <w:r>
        <w:rPr>
          <w:rFonts w:hint="eastAsia" w:ascii="仿宋_GB2312" w:hAnsi="ˎ̥" w:eastAsia="仿宋_GB2312"/>
          <w:color w:val="auto"/>
          <w:sz w:val="32"/>
          <w:szCs w:val="32"/>
          <w:lang w:val="en-US" w:eastAsia="zh-CN"/>
        </w:rPr>
        <w:t>82.99</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年度相比，一般公共预算财政拨款支出增加</w:t>
      </w:r>
      <w:r>
        <w:rPr>
          <w:rFonts w:hint="eastAsia" w:ascii="仿宋_GB2312" w:hAnsi="ˎ̥" w:eastAsia="仿宋_GB2312"/>
          <w:color w:val="auto"/>
          <w:sz w:val="32"/>
          <w:szCs w:val="32"/>
          <w:lang w:val="en-US" w:eastAsia="zh-CN"/>
        </w:rPr>
        <w:t>290.63</w:t>
      </w:r>
      <w:r>
        <w:rPr>
          <w:rFonts w:hint="eastAsia" w:ascii="仿宋_GB2312" w:hAnsi="ˎ̥" w:eastAsia="仿宋_GB2312"/>
          <w:color w:val="auto"/>
          <w:sz w:val="32"/>
          <w:szCs w:val="32"/>
        </w:rPr>
        <w:t>万元，增长</w:t>
      </w:r>
      <w:r>
        <w:rPr>
          <w:rFonts w:hint="eastAsia" w:ascii="仿宋_GB2312" w:hAnsi="ˎ̥" w:eastAsia="仿宋_GB2312"/>
          <w:color w:val="auto"/>
          <w:sz w:val="32"/>
          <w:szCs w:val="32"/>
          <w:lang w:val="en-US" w:eastAsia="zh-CN"/>
        </w:rPr>
        <w:t>4.04</w:t>
      </w:r>
      <w:r>
        <w:rPr>
          <w:rFonts w:hint="eastAsia" w:ascii="仿宋_GB2312" w:hAnsi="ˎ̥" w:eastAsia="仿宋_GB2312"/>
          <w:color w:val="auto"/>
          <w:sz w:val="32"/>
          <w:szCs w:val="32"/>
        </w:rPr>
        <w:t>%，主要原因：一是</w:t>
      </w:r>
      <w:r>
        <w:rPr>
          <w:rFonts w:hint="eastAsia" w:ascii="仿宋_GB2312" w:hAnsi="ˎ̥" w:eastAsia="仿宋_GB2312"/>
          <w:color w:val="auto"/>
          <w:sz w:val="32"/>
          <w:szCs w:val="32"/>
          <w:lang w:eastAsia="zh-CN"/>
        </w:rPr>
        <w:t>聘用制书记员管理及综合运行经费</w:t>
      </w:r>
      <w:r>
        <w:rPr>
          <w:rFonts w:hint="eastAsia" w:ascii="仿宋_GB2312" w:hAnsi="仿宋_GB2312" w:eastAsia="仿宋_GB2312" w:cs="仿宋_GB2312"/>
          <w:color w:val="auto"/>
          <w:kern w:val="1"/>
          <w:sz w:val="32"/>
          <w:szCs w:val="32"/>
          <w:lang w:val="en-US" w:eastAsia="zh-CN"/>
        </w:rPr>
        <w:t>开支增长</w:t>
      </w:r>
      <w:r>
        <w:rPr>
          <w:rFonts w:hint="eastAsia" w:ascii="仿宋_GB2312" w:hAnsi="ˎ̥" w:eastAsia="仿宋_GB2312"/>
          <w:color w:val="auto"/>
          <w:sz w:val="32"/>
          <w:szCs w:val="32"/>
        </w:rPr>
        <w:t>；二是</w:t>
      </w:r>
      <w:r>
        <w:rPr>
          <w:rFonts w:hint="eastAsia" w:ascii="仿宋_GB2312" w:hAnsi="ˎ̥" w:eastAsia="仿宋_GB2312"/>
          <w:color w:val="auto"/>
          <w:sz w:val="32"/>
          <w:szCs w:val="32"/>
          <w:lang w:eastAsia="zh-CN"/>
        </w:rPr>
        <w:t>一次性项目支出有所增加。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rPr>
      </w:pPr>
      <w:bookmarkStart w:id="83" w:name="_Toc23864_WPSOffice_Level2"/>
      <w:bookmarkStart w:id="84" w:name="_Toc18793_WPSOffice_Level2"/>
      <w:bookmarkStart w:id="85" w:name="_Toc19535_WPSOffice_Level2"/>
      <w:bookmarkStart w:id="86" w:name="_Toc27767_WPSOffice_Level2"/>
      <w:bookmarkStart w:id="87" w:name="_Toc19075_WPSOffice_Level2"/>
      <w:bookmarkStart w:id="88" w:name="_Toc2711_WPSOffice_Level2"/>
      <w:r>
        <w:rPr>
          <w:rFonts w:hint="eastAsia" w:ascii="楷体" w:hAnsi="楷体" w:eastAsia="楷体" w:cs="楷体"/>
          <w:color w:val="auto"/>
          <w:sz w:val="32"/>
          <w:szCs w:val="32"/>
        </w:rPr>
        <w:t>（二）一般公共预算财政拨款支出决算结构情况</w:t>
      </w:r>
      <w:bookmarkEnd w:id="83"/>
      <w:bookmarkEnd w:id="84"/>
      <w:bookmarkEnd w:id="85"/>
      <w:bookmarkEnd w:id="86"/>
      <w:bookmarkEnd w:id="87"/>
      <w:bookmarkEnd w:id="8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w:t>
      </w:r>
      <w:r>
        <w:rPr>
          <w:rFonts w:hint="default" w:ascii="仿宋_GB2312" w:hAnsi="ˎ̥" w:eastAsia="仿宋_GB2312"/>
          <w:color w:val="auto"/>
          <w:sz w:val="32"/>
          <w:szCs w:val="32"/>
          <w:lang w:val="en-US"/>
        </w:rPr>
        <w:t>7,476.54</w:t>
      </w:r>
      <w:r>
        <w:rPr>
          <w:rFonts w:hint="eastAsia" w:ascii="仿宋_GB2312" w:hAnsi="ˎ̥" w:eastAsia="仿宋_GB2312"/>
          <w:color w:val="auto"/>
          <w:sz w:val="32"/>
          <w:szCs w:val="32"/>
        </w:rPr>
        <w:t>万元，主要用于以下方面：</w:t>
      </w:r>
      <w:r>
        <w:rPr>
          <w:rFonts w:ascii="仿宋_GB2312" w:hAnsi="仿宋_GB2312" w:eastAsia="仿宋_GB2312" w:cs="仿宋_GB2312"/>
          <w:b/>
          <w:color w:val="auto"/>
          <w:kern w:val="1"/>
          <w:sz w:val="32"/>
          <w:szCs w:val="32"/>
        </w:rPr>
        <w:t>公共安全支出（类）</w:t>
      </w:r>
      <w:r>
        <w:rPr>
          <w:rFonts w:hint="eastAsia" w:ascii="仿宋_GB2312" w:hAnsi="仿宋_GB2312" w:eastAsia="仿宋_GB2312" w:cs="仿宋_GB2312"/>
          <w:color w:val="auto"/>
          <w:kern w:val="1"/>
          <w:sz w:val="32"/>
          <w:szCs w:val="32"/>
          <w:lang w:val="en-US" w:eastAsia="zh-CN"/>
        </w:rPr>
        <w:t>6350.26</w:t>
      </w:r>
      <w:r>
        <w:rPr>
          <w:rFonts w:ascii="仿宋_GB2312" w:hAnsi="仿宋_GB2312" w:eastAsia="仿宋_GB2312" w:cs="仿宋_GB2312"/>
          <w:color w:val="auto"/>
          <w:kern w:val="1"/>
          <w:sz w:val="32"/>
          <w:szCs w:val="32"/>
        </w:rPr>
        <w:t>万元，占</w:t>
      </w:r>
      <w:r>
        <w:rPr>
          <w:rFonts w:hint="eastAsia" w:ascii="仿宋_GB2312" w:hAnsi="仿宋_GB2312" w:eastAsia="仿宋_GB2312" w:cs="仿宋_GB2312"/>
          <w:color w:val="auto"/>
          <w:kern w:val="1"/>
          <w:sz w:val="32"/>
          <w:szCs w:val="32"/>
          <w:lang w:val="en-US" w:eastAsia="zh-CN"/>
        </w:rPr>
        <w:t>84.94</w:t>
      </w:r>
      <w:r>
        <w:rPr>
          <w:rFonts w:ascii="仿宋_GB2312" w:hAnsi="仿宋_GB2312" w:eastAsia="仿宋_GB2312" w:cs="仿宋_GB2312"/>
          <w:color w:val="auto"/>
          <w:kern w:val="1"/>
          <w:sz w:val="32"/>
          <w:szCs w:val="32"/>
        </w:rPr>
        <w:t>%；</w:t>
      </w:r>
      <w:r>
        <w:rPr>
          <w:rFonts w:ascii="仿宋_GB2312" w:hAnsi="仿宋_GB2312" w:eastAsia="仿宋_GB2312" w:cs="仿宋_GB2312"/>
          <w:b/>
          <w:color w:val="auto"/>
          <w:kern w:val="1"/>
          <w:sz w:val="32"/>
          <w:szCs w:val="32"/>
        </w:rPr>
        <w:t>社会保障和就业支出（类）</w:t>
      </w:r>
      <w:r>
        <w:rPr>
          <w:rFonts w:hint="eastAsia" w:ascii="仿宋_GB2312" w:hAnsi="仿宋_GB2312" w:eastAsia="仿宋_GB2312" w:cs="仿宋_GB2312"/>
          <w:color w:val="auto"/>
          <w:kern w:val="1"/>
          <w:sz w:val="32"/>
          <w:szCs w:val="32"/>
          <w:lang w:val="en-US" w:eastAsia="zh-CN"/>
        </w:rPr>
        <w:t>516.67</w:t>
      </w:r>
      <w:r>
        <w:rPr>
          <w:rFonts w:ascii="仿宋_GB2312" w:hAnsi="仿宋_GB2312" w:eastAsia="仿宋_GB2312" w:cs="仿宋_GB2312"/>
          <w:color w:val="auto"/>
          <w:kern w:val="1"/>
          <w:sz w:val="32"/>
          <w:szCs w:val="32"/>
        </w:rPr>
        <w:t>万元，占</w:t>
      </w:r>
      <w:r>
        <w:rPr>
          <w:rFonts w:hint="eastAsia" w:ascii="仿宋_GB2312" w:hAnsi="仿宋_GB2312" w:eastAsia="仿宋_GB2312" w:cs="仿宋_GB2312"/>
          <w:color w:val="auto"/>
          <w:kern w:val="1"/>
          <w:sz w:val="32"/>
          <w:szCs w:val="32"/>
          <w:lang w:val="en-US" w:eastAsia="zh-CN"/>
        </w:rPr>
        <w:t>6.91</w:t>
      </w:r>
      <w:r>
        <w:rPr>
          <w:rFonts w:ascii="仿宋_GB2312" w:hAnsi="仿宋_GB2312" w:eastAsia="仿宋_GB2312" w:cs="仿宋_GB2312"/>
          <w:color w:val="auto"/>
          <w:kern w:val="1"/>
          <w:sz w:val="32"/>
          <w:szCs w:val="32"/>
        </w:rPr>
        <w:t>%；</w:t>
      </w:r>
      <w:r>
        <w:rPr>
          <w:rFonts w:ascii="仿宋_GB2312" w:hAnsi="仿宋_GB2312" w:eastAsia="仿宋_GB2312" w:cs="仿宋_GB2312"/>
          <w:b/>
          <w:color w:val="auto"/>
          <w:kern w:val="1"/>
          <w:sz w:val="32"/>
          <w:szCs w:val="32"/>
        </w:rPr>
        <w:t>卫生健康支出（类）</w:t>
      </w:r>
      <w:r>
        <w:rPr>
          <w:rFonts w:hint="eastAsia" w:ascii="仿宋_GB2312" w:hAnsi="仿宋_GB2312" w:eastAsia="仿宋_GB2312" w:cs="仿宋_GB2312"/>
          <w:color w:val="auto"/>
          <w:kern w:val="1"/>
          <w:sz w:val="32"/>
          <w:szCs w:val="32"/>
          <w:lang w:val="en-US" w:eastAsia="zh-CN"/>
        </w:rPr>
        <w:t>366.58</w:t>
      </w:r>
      <w:r>
        <w:rPr>
          <w:rFonts w:ascii="仿宋_GB2312" w:hAnsi="仿宋_GB2312" w:eastAsia="仿宋_GB2312" w:cs="仿宋_GB2312"/>
          <w:color w:val="auto"/>
          <w:kern w:val="1"/>
          <w:sz w:val="32"/>
          <w:szCs w:val="32"/>
        </w:rPr>
        <w:t>万元，占</w:t>
      </w:r>
      <w:r>
        <w:rPr>
          <w:rFonts w:hint="eastAsia" w:ascii="仿宋_GB2312" w:hAnsi="仿宋_GB2312" w:eastAsia="仿宋_GB2312" w:cs="仿宋_GB2312"/>
          <w:color w:val="auto"/>
          <w:kern w:val="1"/>
          <w:sz w:val="32"/>
          <w:szCs w:val="32"/>
          <w:lang w:val="en-US" w:eastAsia="zh-CN"/>
        </w:rPr>
        <w:t>4.90</w:t>
      </w:r>
      <w:r>
        <w:rPr>
          <w:rFonts w:ascii="仿宋_GB2312" w:hAnsi="仿宋_GB2312" w:eastAsia="仿宋_GB2312" w:cs="仿宋_GB2312"/>
          <w:color w:val="auto"/>
          <w:kern w:val="1"/>
          <w:sz w:val="32"/>
          <w:szCs w:val="32"/>
        </w:rPr>
        <w:t>%；</w:t>
      </w:r>
      <w:r>
        <w:rPr>
          <w:rFonts w:ascii="仿宋_GB2312" w:hAnsi="仿宋_GB2312" w:eastAsia="仿宋_GB2312" w:cs="仿宋_GB2312"/>
          <w:b/>
          <w:bCs/>
          <w:color w:val="auto"/>
          <w:kern w:val="1"/>
          <w:sz w:val="32"/>
          <w:szCs w:val="32"/>
        </w:rPr>
        <w:t>住房保障支出（类）</w:t>
      </w:r>
      <w:r>
        <w:rPr>
          <w:rFonts w:ascii="仿宋_GB2312" w:hAnsi="仿宋_GB2312" w:eastAsia="仿宋_GB2312" w:cs="仿宋_GB2312"/>
          <w:color w:val="auto"/>
          <w:kern w:val="1"/>
          <w:sz w:val="32"/>
          <w:szCs w:val="32"/>
        </w:rPr>
        <w:t>2</w:t>
      </w:r>
      <w:r>
        <w:rPr>
          <w:rFonts w:hint="eastAsia" w:ascii="仿宋_GB2312" w:hAnsi="仿宋_GB2312" w:eastAsia="仿宋_GB2312" w:cs="仿宋_GB2312"/>
          <w:color w:val="auto"/>
          <w:kern w:val="1"/>
          <w:sz w:val="32"/>
          <w:szCs w:val="32"/>
          <w:lang w:val="en-US" w:eastAsia="zh-CN"/>
        </w:rPr>
        <w:t>43.03</w:t>
      </w:r>
      <w:r>
        <w:rPr>
          <w:rFonts w:ascii="仿宋_GB2312" w:hAnsi="仿宋_GB2312" w:eastAsia="仿宋_GB2312" w:cs="仿宋_GB2312"/>
          <w:color w:val="auto"/>
          <w:kern w:val="1"/>
          <w:sz w:val="32"/>
          <w:szCs w:val="32"/>
        </w:rPr>
        <w:t>万元，占</w:t>
      </w:r>
      <w:r>
        <w:rPr>
          <w:rFonts w:hint="eastAsia" w:ascii="仿宋_GB2312" w:hAnsi="仿宋_GB2312" w:eastAsia="仿宋_GB2312" w:cs="仿宋_GB2312"/>
          <w:color w:val="auto"/>
          <w:kern w:val="1"/>
          <w:sz w:val="32"/>
          <w:szCs w:val="32"/>
          <w:lang w:val="en-US" w:eastAsia="zh-CN"/>
        </w:rPr>
        <w:t>3.25</w:t>
      </w:r>
      <w:r>
        <w:rPr>
          <w:rFonts w:ascii="仿宋_GB2312" w:hAnsi="仿宋_GB2312" w:eastAsia="仿宋_GB2312" w:cs="仿宋_GB2312"/>
          <w:color w:val="auto"/>
          <w:kern w:val="1"/>
          <w:sz w:val="32"/>
          <w:szCs w:val="32"/>
        </w:rPr>
        <w:t>%。</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rPr>
      </w:pPr>
      <w:bookmarkStart w:id="89" w:name="_Toc29364_WPSOffice_Level2"/>
      <w:bookmarkStart w:id="90" w:name="_Toc15415_WPSOffice_Level2"/>
      <w:bookmarkStart w:id="91" w:name="_Toc22318_WPSOffice_Level2"/>
      <w:bookmarkStart w:id="92" w:name="_Toc25136_WPSOffice_Level2"/>
      <w:bookmarkStart w:id="93" w:name="_Toc21701_WPSOffice_Level2"/>
      <w:bookmarkStart w:id="94" w:name="_Toc9502_WPSOffice_Level2"/>
      <w:r>
        <w:rPr>
          <w:rFonts w:hint="eastAsia" w:ascii="楷体" w:hAnsi="楷体" w:eastAsia="楷体" w:cs="楷体"/>
          <w:color w:val="auto"/>
          <w:sz w:val="32"/>
          <w:szCs w:val="32"/>
        </w:rPr>
        <w:t>（三）一般公共预算财政拨款支出决算具体情况</w:t>
      </w:r>
      <w:bookmarkEnd w:id="89"/>
      <w:bookmarkEnd w:id="90"/>
      <w:bookmarkEnd w:id="91"/>
      <w:bookmarkEnd w:id="92"/>
      <w:bookmarkEnd w:id="93"/>
      <w:bookmarkEnd w:id="9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年度一般公共预算财政拨款支出年初预算为</w:t>
      </w:r>
      <w:r>
        <w:rPr>
          <w:rFonts w:hint="eastAsia" w:ascii="仿宋_GB2312" w:hAnsi="ˎ̥" w:eastAsia="仿宋_GB2312"/>
          <w:color w:val="auto"/>
          <w:sz w:val="32"/>
          <w:szCs w:val="32"/>
          <w:lang w:val="en-US" w:eastAsia="zh-CN"/>
        </w:rPr>
        <w:t>7423.91</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7,476.54</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100.71</w:t>
      </w:r>
      <w:r>
        <w:rPr>
          <w:rFonts w:hint="eastAsia" w:ascii="仿宋_GB2312" w:hAnsi="ˎ̥" w:eastAsia="仿宋_GB2312"/>
          <w:color w:val="auto"/>
          <w:sz w:val="32"/>
          <w:szCs w:val="32"/>
        </w:rPr>
        <w:t>%。其中：</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ˎ̥" w:eastAsia="仿宋_GB2312"/>
          <w:b/>
          <w:color w:val="auto"/>
          <w:sz w:val="32"/>
          <w:szCs w:val="32"/>
        </w:rPr>
      </w:pPr>
      <w:r>
        <w:rPr>
          <w:rFonts w:hint="eastAsia" w:ascii="仿宋_GB2312" w:hAnsi="仿宋_GB2312" w:eastAsia="仿宋_GB2312" w:cs="仿宋_GB2312"/>
          <w:b/>
          <w:color w:val="auto"/>
          <w:kern w:val="1"/>
          <w:sz w:val="32"/>
          <w:szCs w:val="32"/>
        </w:rPr>
        <w:t>1.</w:t>
      </w:r>
      <w:r>
        <w:rPr>
          <w:rFonts w:ascii="仿宋_GB2312" w:hAnsi="仿宋_GB2312" w:eastAsia="仿宋_GB2312" w:cs="仿宋_GB2312"/>
          <w:b/>
          <w:color w:val="auto"/>
          <w:kern w:val="1"/>
          <w:sz w:val="32"/>
          <w:szCs w:val="32"/>
        </w:rPr>
        <w:t>公共安全支出（类）法院（款）行政运行（项）</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default" w:ascii="仿宋_GB2312" w:hAnsi="ˎ̥" w:eastAsia="仿宋_GB2312"/>
          <w:color w:val="auto"/>
          <w:sz w:val="32"/>
          <w:szCs w:val="32"/>
          <w:lang w:val="en-US"/>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3554.90</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3518.54</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98.98</w:t>
      </w:r>
      <w:r>
        <w:rPr>
          <w:rFonts w:hint="eastAsia" w:ascii="仿宋_GB2312" w:hAnsi="ˎ̥" w:eastAsia="仿宋_GB2312"/>
          <w:color w:val="auto"/>
          <w:sz w:val="32"/>
          <w:szCs w:val="32"/>
        </w:rPr>
        <w:t>%。决算数小于预算数的主要原因</w:t>
      </w:r>
      <w:r>
        <w:rPr>
          <w:rFonts w:hint="default" w:ascii="仿宋_GB2312" w:hAnsi="ˎ̥" w:eastAsia="仿宋_GB2312"/>
          <w:color w:val="auto"/>
          <w:sz w:val="32"/>
          <w:szCs w:val="32"/>
          <w:lang w:val="en"/>
        </w:rPr>
        <w:t>:</w:t>
      </w:r>
      <w:r>
        <w:rPr>
          <w:rFonts w:hint="eastAsia" w:ascii="仿宋_GB2312" w:hAnsi="ˎ̥" w:eastAsia="仿宋_GB2312"/>
          <w:color w:val="auto"/>
          <w:sz w:val="32"/>
          <w:szCs w:val="32"/>
          <w:lang w:eastAsia="zh-CN"/>
        </w:rPr>
        <w:t>一是</w:t>
      </w:r>
      <w:r>
        <w:rPr>
          <w:rFonts w:hint="eastAsia" w:ascii="仿宋_GB2312" w:hAnsi="ˎ̥" w:eastAsia="仿宋_GB2312"/>
          <w:color w:val="auto"/>
          <w:sz w:val="32"/>
          <w:szCs w:val="32"/>
          <w:lang w:val="en-US" w:eastAsia="zh-CN"/>
        </w:rPr>
        <w:t>法官检察官绩效考核奖金与长聘人员工资福利有所结余；二是公务接待费开支较少。</w:t>
      </w:r>
    </w:p>
    <w:p>
      <w:pPr>
        <w:keepNext w:val="0"/>
        <w:keepLines w:val="0"/>
        <w:pageBreakBefore w:val="0"/>
        <w:widowControl/>
        <w:suppressLineNumbers w:val="0"/>
        <w:kinsoku/>
        <w:wordWrap/>
        <w:overflowPunct/>
        <w:topLinePunct w:val="0"/>
        <w:autoSpaceDN/>
        <w:bidi w:val="0"/>
        <w:adjustRightInd/>
        <w:snapToGrid/>
        <w:spacing w:line="560" w:lineRule="exact"/>
        <w:jc w:val="left"/>
        <w:textAlignment w:val="auto"/>
        <w:rPr>
          <w:rFonts w:ascii="仿宋_GB2312" w:hAnsi="仿宋_GB2312" w:eastAsia="仿宋_GB2312" w:cs="仿宋_GB2312"/>
          <w:b/>
          <w:color w:val="auto"/>
          <w:kern w:val="1"/>
          <w:sz w:val="32"/>
          <w:szCs w:val="32"/>
        </w:rPr>
      </w:pPr>
      <w:r>
        <w:rPr>
          <w:rFonts w:hint="eastAsia" w:ascii="仿宋_GB2312" w:hAnsi="ˎ̥" w:eastAsia="仿宋_GB2312"/>
          <w:color w:val="auto"/>
          <w:sz w:val="32"/>
          <w:szCs w:val="32"/>
        </w:rPr>
        <w:t xml:space="preserve">  </w:t>
      </w:r>
      <w:r>
        <w:rPr>
          <w:rFonts w:hint="eastAsia" w:ascii="仿宋_GB2312" w:hAnsi="ˎ̥" w:eastAsia="仿宋_GB2312"/>
          <w:color w:val="auto"/>
          <w:sz w:val="32"/>
          <w:szCs w:val="32"/>
          <w:lang w:val="en-US" w:eastAsia="zh-CN"/>
        </w:rPr>
        <w:t xml:space="preserve">  </w:t>
      </w:r>
      <w:r>
        <w:rPr>
          <w:rFonts w:hint="eastAsia" w:ascii="仿宋_GB2312" w:hAnsi="仿宋_GB2312" w:eastAsia="仿宋_GB2312" w:cs="仿宋_GB2312"/>
          <w:b/>
          <w:color w:val="auto"/>
          <w:kern w:val="1"/>
          <w:sz w:val="32"/>
          <w:szCs w:val="32"/>
        </w:rPr>
        <w:t>2.</w:t>
      </w:r>
      <w:r>
        <w:rPr>
          <w:rFonts w:ascii="仿宋_GB2312" w:hAnsi="仿宋_GB2312" w:eastAsia="仿宋_GB2312" w:cs="仿宋_GB2312"/>
          <w:b/>
          <w:color w:val="auto"/>
          <w:kern w:val="1"/>
          <w:sz w:val="32"/>
          <w:szCs w:val="32"/>
        </w:rPr>
        <w:t>公共安全支出（类）法院（款）</w:t>
      </w:r>
      <w:r>
        <w:rPr>
          <w:rFonts w:ascii="仿宋_GB2312" w:hAnsi="仿宋_GB2312" w:eastAsia="仿宋_GB2312" w:cs="仿宋_GB2312"/>
          <w:b/>
          <w:color w:val="auto"/>
          <w:kern w:val="1"/>
          <w:sz w:val="32"/>
          <w:szCs w:val="32"/>
          <w:lang w:val="en-US" w:eastAsia="zh-CN"/>
        </w:rPr>
        <w:t>一般行政管理事务</w:t>
      </w:r>
      <w:r>
        <w:rPr>
          <w:rFonts w:hint="eastAsia" w:ascii="仿宋_GB2312" w:hAnsi="仿宋_GB2312" w:eastAsia="仿宋_GB2312" w:cs="仿宋_GB2312"/>
          <w:b/>
          <w:color w:val="auto"/>
          <w:kern w:val="1"/>
          <w:sz w:val="32"/>
          <w:szCs w:val="32"/>
          <w:lang w:val="en-US" w:eastAsia="zh-CN"/>
        </w:rPr>
        <w:t>（项）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年初预算为</w:t>
      </w:r>
      <w:r>
        <w:rPr>
          <w:rFonts w:hint="eastAsia" w:ascii="仿宋_GB2312" w:hAnsi="ˎ̥" w:eastAsia="仿宋_GB2312"/>
          <w:color w:val="auto"/>
          <w:sz w:val="32"/>
          <w:szCs w:val="32"/>
          <w:lang w:val="en-US" w:eastAsia="zh-CN"/>
        </w:rPr>
        <w:t>610.81</w:t>
      </w:r>
      <w:r>
        <w:rPr>
          <w:rFonts w:hint="eastAsia" w:ascii="仿宋_GB2312" w:hAnsi="ˎ̥" w:eastAsia="仿宋_GB2312"/>
          <w:color w:val="auto"/>
          <w:sz w:val="32"/>
          <w:szCs w:val="32"/>
        </w:rPr>
        <w:t>万元，支出决算为</w:t>
      </w:r>
      <w:r>
        <w:rPr>
          <w:rFonts w:hint="eastAsia" w:ascii="仿宋_GB2312" w:hAnsi="ˎ̥" w:eastAsia="仿宋_GB2312"/>
          <w:color w:val="auto"/>
          <w:sz w:val="32"/>
          <w:szCs w:val="32"/>
          <w:lang w:val="en-US" w:eastAsia="zh-CN"/>
        </w:rPr>
        <w:t>610.81</w:t>
      </w:r>
      <w:r>
        <w:rPr>
          <w:rFonts w:hint="eastAsia" w:ascii="仿宋_GB2312" w:hAnsi="ˎ̥" w:eastAsia="仿宋_GB2312"/>
          <w:color w:val="auto"/>
          <w:sz w:val="32"/>
          <w:szCs w:val="32"/>
        </w:rPr>
        <w:t>万元，完成年初预算的</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%。决算数</w:t>
      </w:r>
      <w:r>
        <w:rPr>
          <w:rFonts w:hint="eastAsia" w:ascii="仿宋_GB2312" w:hAnsi="ˎ̥" w:eastAsia="仿宋_GB2312"/>
          <w:color w:val="auto"/>
          <w:sz w:val="32"/>
          <w:szCs w:val="32"/>
          <w:lang w:eastAsia="zh-CN"/>
        </w:rPr>
        <w:t>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一致</w:t>
      </w:r>
      <w:r>
        <w:rPr>
          <w:rFonts w:hint="eastAsia" w:ascii="仿宋_GB2312" w:hAnsi="ˎ̥" w:eastAsia="仿宋_GB2312"/>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kern w:val="1"/>
          <w:sz w:val="32"/>
          <w:szCs w:val="32"/>
          <w:lang w:eastAsia="zh-CN"/>
        </w:rPr>
      </w:pPr>
      <w:r>
        <w:rPr>
          <w:rFonts w:hint="eastAsia" w:ascii="仿宋_GB2312" w:hAnsi="仿宋_GB2312" w:eastAsia="仿宋_GB2312" w:cs="仿宋_GB2312"/>
          <w:b/>
          <w:kern w:val="1"/>
          <w:sz w:val="32"/>
          <w:szCs w:val="32"/>
          <w:lang w:val="en-US" w:eastAsia="zh-CN"/>
        </w:rPr>
        <w:t>3.</w:t>
      </w:r>
      <w:r>
        <w:rPr>
          <w:rFonts w:ascii="仿宋_GB2312" w:hAnsi="仿宋_GB2312" w:eastAsia="仿宋_GB2312" w:cs="仿宋_GB2312"/>
          <w:b/>
          <w:kern w:val="1"/>
          <w:sz w:val="32"/>
          <w:szCs w:val="32"/>
        </w:rPr>
        <w:t>公共安全支出（类）法院（款）案件审判（项）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kern w:val="1"/>
          <w:sz w:val="32"/>
          <w:szCs w:val="32"/>
        </w:rPr>
      </w:pPr>
      <w:r>
        <w:rPr>
          <w:rFonts w:ascii="仿宋_GB2312" w:hAnsi="仿宋_GB2312" w:eastAsia="仿宋_GB2312" w:cs="仿宋_GB2312"/>
          <w:kern w:val="1"/>
          <w:sz w:val="32"/>
          <w:szCs w:val="32"/>
        </w:rPr>
        <w:t>年初预算为</w:t>
      </w:r>
      <w:r>
        <w:rPr>
          <w:rFonts w:hint="eastAsia" w:ascii="仿宋_GB2312" w:hAnsi="仿宋_GB2312" w:eastAsia="仿宋_GB2312" w:cs="仿宋_GB2312"/>
          <w:kern w:val="1"/>
          <w:sz w:val="32"/>
          <w:szCs w:val="32"/>
          <w:lang w:val="en-US" w:eastAsia="zh-CN"/>
        </w:rPr>
        <w:t>810.49</w:t>
      </w:r>
      <w:r>
        <w:rPr>
          <w:rFonts w:ascii="仿宋_GB2312" w:hAnsi="仿宋_GB2312" w:eastAsia="仿宋_GB2312" w:cs="仿宋_GB2312"/>
          <w:kern w:val="1"/>
          <w:sz w:val="32"/>
          <w:szCs w:val="32"/>
        </w:rPr>
        <w:t>万元，支出决算为</w:t>
      </w:r>
      <w:r>
        <w:rPr>
          <w:rFonts w:hint="eastAsia" w:ascii="仿宋_GB2312" w:hAnsi="仿宋_GB2312" w:eastAsia="仿宋_GB2312" w:cs="仿宋_GB2312"/>
          <w:kern w:val="1"/>
          <w:sz w:val="32"/>
          <w:szCs w:val="32"/>
          <w:lang w:val="en-US" w:eastAsia="zh-CN"/>
        </w:rPr>
        <w:t>993.61</w:t>
      </w:r>
      <w:r>
        <w:rPr>
          <w:rFonts w:ascii="仿宋_GB2312" w:hAnsi="仿宋_GB2312" w:eastAsia="仿宋_GB2312" w:cs="仿宋_GB2312"/>
          <w:kern w:val="1"/>
          <w:sz w:val="32"/>
          <w:szCs w:val="32"/>
        </w:rPr>
        <w:t>万元，完成年初预算的</w:t>
      </w:r>
      <w:r>
        <w:rPr>
          <w:rFonts w:hint="eastAsia" w:ascii="仿宋_GB2312" w:hAnsi="仿宋_GB2312" w:eastAsia="仿宋_GB2312" w:cs="仿宋_GB2312"/>
          <w:kern w:val="1"/>
          <w:sz w:val="32"/>
          <w:szCs w:val="32"/>
          <w:lang w:val="en-US" w:eastAsia="zh-CN"/>
        </w:rPr>
        <w:t>122.59</w:t>
      </w:r>
      <w:r>
        <w:rPr>
          <w:rFonts w:ascii="仿宋_GB2312" w:hAnsi="仿宋_GB2312" w:eastAsia="仿宋_GB2312" w:cs="仿宋_GB2312"/>
          <w:kern w:val="1"/>
          <w:sz w:val="32"/>
          <w:szCs w:val="32"/>
        </w:rPr>
        <w:t>%。决算数</w:t>
      </w:r>
      <w:r>
        <w:rPr>
          <w:rFonts w:hint="eastAsia" w:ascii="仿宋_GB2312" w:hAnsi="仿宋_GB2312" w:eastAsia="仿宋_GB2312" w:cs="仿宋_GB2312"/>
          <w:kern w:val="1"/>
          <w:sz w:val="32"/>
          <w:szCs w:val="32"/>
          <w:lang w:eastAsia="zh-CN"/>
        </w:rPr>
        <w:t>大</w:t>
      </w:r>
      <w:r>
        <w:rPr>
          <w:rFonts w:ascii="仿宋_GB2312" w:hAnsi="仿宋_GB2312" w:eastAsia="仿宋_GB2312" w:cs="仿宋_GB2312"/>
          <w:kern w:val="1"/>
          <w:sz w:val="32"/>
          <w:szCs w:val="32"/>
        </w:rPr>
        <w:t>于预算数的主要原因是</w:t>
      </w:r>
      <w:r>
        <w:rPr>
          <w:rFonts w:hint="eastAsia" w:ascii="仿宋_GB2312" w:hAnsi="仿宋_GB2312" w:eastAsia="仿宋_GB2312" w:cs="仿宋_GB2312"/>
          <w:kern w:val="1"/>
          <w:sz w:val="32"/>
          <w:szCs w:val="32"/>
          <w:lang w:eastAsia="zh-CN"/>
        </w:rPr>
        <w:t>年中追加安排了部分政法转移经费</w:t>
      </w:r>
      <w:r>
        <w:rPr>
          <w:rFonts w:ascii="仿宋_GB2312" w:hAnsi="仿宋_GB2312" w:eastAsia="仿宋_GB2312" w:cs="仿宋_GB2312"/>
          <w:kern w:val="1"/>
          <w:sz w:val="32"/>
          <w:szCs w:val="32"/>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hAnsi="仿宋_GB2312" w:eastAsia="仿宋_GB2312" w:cs="仿宋_GB2312"/>
          <w:b/>
          <w:kern w:val="1"/>
          <w:sz w:val="32"/>
          <w:szCs w:val="32"/>
          <w:lang w:eastAsia="zh-CN"/>
        </w:rPr>
      </w:pPr>
      <w:r>
        <w:rPr>
          <w:rFonts w:hint="eastAsia" w:ascii="仿宋_GB2312" w:hAnsi="仿宋_GB2312" w:eastAsia="仿宋_GB2312" w:cs="仿宋_GB2312"/>
          <w:b/>
          <w:kern w:val="1"/>
          <w:sz w:val="32"/>
          <w:szCs w:val="32"/>
          <w:lang w:val="en-US" w:eastAsia="zh-CN"/>
        </w:rPr>
        <w:t>4.</w:t>
      </w:r>
      <w:r>
        <w:rPr>
          <w:rFonts w:ascii="仿宋_GB2312" w:hAnsi="仿宋_GB2312" w:eastAsia="仿宋_GB2312" w:cs="仿宋_GB2312"/>
          <w:b/>
          <w:kern w:val="1"/>
          <w:sz w:val="32"/>
          <w:szCs w:val="32"/>
        </w:rPr>
        <w:t>公共安全支出（类）法院（款）</w:t>
      </w:r>
      <w:r>
        <w:rPr>
          <w:rFonts w:hint="eastAsia" w:ascii="仿宋_GB2312" w:hAnsi="仿宋_GB2312" w:eastAsia="仿宋_GB2312" w:cs="仿宋_GB2312"/>
          <w:b/>
          <w:kern w:val="1"/>
          <w:sz w:val="32"/>
          <w:szCs w:val="32"/>
          <w:lang w:eastAsia="zh-CN"/>
        </w:rPr>
        <w:t>“两庭”建设</w:t>
      </w:r>
      <w:r>
        <w:rPr>
          <w:rFonts w:ascii="仿宋_GB2312" w:hAnsi="仿宋_GB2312" w:eastAsia="仿宋_GB2312" w:cs="仿宋_GB2312"/>
          <w:b/>
          <w:kern w:val="1"/>
          <w:sz w:val="32"/>
          <w:szCs w:val="32"/>
        </w:rPr>
        <w:t>（项）</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default" w:ascii="仿宋_GB2312" w:hAnsi="仿宋_GB2312" w:eastAsia="仿宋_GB2312" w:cs="仿宋_GB2312"/>
          <w:kern w:val="1"/>
          <w:sz w:val="32"/>
          <w:szCs w:val="32"/>
          <w:lang w:val="en-US"/>
        </w:rPr>
      </w:pPr>
      <w:r>
        <w:rPr>
          <w:rFonts w:ascii="仿宋_GB2312" w:hAnsi="仿宋_GB2312" w:eastAsia="仿宋_GB2312" w:cs="仿宋_GB2312"/>
          <w:kern w:val="1"/>
          <w:sz w:val="32"/>
          <w:szCs w:val="32"/>
        </w:rPr>
        <w:t>年初预算为</w:t>
      </w:r>
      <w:r>
        <w:rPr>
          <w:rFonts w:hint="eastAsia" w:ascii="仿宋_GB2312" w:hAnsi="仿宋_GB2312" w:eastAsia="仿宋_GB2312" w:cs="仿宋_GB2312"/>
          <w:kern w:val="1"/>
          <w:sz w:val="32"/>
          <w:szCs w:val="32"/>
          <w:lang w:val="en-US" w:eastAsia="zh-CN"/>
        </w:rPr>
        <w:t>23.39</w:t>
      </w:r>
      <w:r>
        <w:rPr>
          <w:rFonts w:ascii="仿宋_GB2312" w:hAnsi="仿宋_GB2312" w:eastAsia="仿宋_GB2312" w:cs="仿宋_GB2312"/>
          <w:kern w:val="1"/>
          <w:sz w:val="32"/>
          <w:szCs w:val="32"/>
        </w:rPr>
        <w:t>万元，支出决算为</w:t>
      </w:r>
      <w:r>
        <w:rPr>
          <w:rFonts w:hint="eastAsia" w:ascii="仿宋_GB2312" w:hAnsi="仿宋_GB2312" w:eastAsia="仿宋_GB2312" w:cs="仿宋_GB2312"/>
          <w:kern w:val="1"/>
          <w:sz w:val="32"/>
          <w:szCs w:val="32"/>
          <w:lang w:val="en-US" w:eastAsia="zh-CN"/>
        </w:rPr>
        <w:t>57.39</w:t>
      </w:r>
      <w:r>
        <w:rPr>
          <w:rFonts w:ascii="仿宋_GB2312" w:hAnsi="仿宋_GB2312" w:eastAsia="仿宋_GB2312" w:cs="仿宋_GB2312"/>
          <w:kern w:val="1"/>
          <w:sz w:val="32"/>
          <w:szCs w:val="32"/>
        </w:rPr>
        <w:t>万元，完成年初预算的</w:t>
      </w:r>
      <w:r>
        <w:rPr>
          <w:rFonts w:hint="eastAsia" w:ascii="仿宋_GB2312" w:hAnsi="仿宋_GB2312" w:eastAsia="仿宋_GB2312" w:cs="仿宋_GB2312"/>
          <w:kern w:val="1"/>
          <w:sz w:val="32"/>
          <w:szCs w:val="32"/>
          <w:lang w:val="en-US" w:eastAsia="zh-CN"/>
        </w:rPr>
        <w:t>245.36</w:t>
      </w:r>
      <w:r>
        <w:rPr>
          <w:rFonts w:ascii="仿宋_GB2312" w:hAnsi="仿宋_GB2312" w:eastAsia="仿宋_GB2312" w:cs="仿宋_GB2312"/>
          <w:kern w:val="1"/>
          <w:sz w:val="32"/>
          <w:szCs w:val="32"/>
        </w:rPr>
        <w:t>%。决算数</w:t>
      </w:r>
      <w:r>
        <w:rPr>
          <w:rFonts w:hint="eastAsia" w:ascii="仿宋_GB2312" w:hAnsi="仿宋_GB2312" w:eastAsia="仿宋_GB2312" w:cs="仿宋_GB2312"/>
          <w:kern w:val="1"/>
          <w:sz w:val="32"/>
          <w:szCs w:val="32"/>
          <w:lang w:eastAsia="zh-CN"/>
        </w:rPr>
        <w:t>大</w:t>
      </w:r>
      <w:r>
        <w:rPr>
          <w:rFonts w:ascii="仿宋_GB2312" w:hAnsi="仿宋_GB2312" w:eastAsia="仿宋_GB2312" w:cs="仿宋_GB2312"/>
          <w:kern w:val="1"/>
          <w:sz w:val="32"/>
          <w:szCs w:val="32"/>
        </w:rPr>
        <w:t>于预算数的主要原因是</w:t>
      </w:r>
      <w:r>
        <w:rPr>
          <w:rFonts w:hint="eastAsia" w:ascii="仿宋_GB2312" w:hAnsi="仿宋_GB2312" w:eastAsia="仿宋_GB2312" w:cs="仿宋_GB2312"/>
          <w:kern w:val="1"/>
          <w:sz w:val="32"/>
          <w:szCs w:val="32"/>
          <w:lang w:eastAsia="zh-CN"/>
        </w:rPr>
        <w:t>年中申请追加安排了</w:t>
      </w:r>
      <w:r>
        <w:rPr>
          <w:rFonts w:ascii="仿宋_GB2312" w:hAnsi="仿宋_GB2312" w:eastAsia="仿宋_GB2312" w:cs="仿宋_GB2312"/>
          <w:kern w:val="1"/>
          <w:sz w:val="32"/>
          <w:szCs w:val="32"/>
          <w:lang w:val="en-US" w:eastAsia="zh-CN"/>
        </w:rPr>
        <w:t>新审判大楼法文化建设</w:t>
      </w:r>
      <w:r>
        <w:rPr>
          <w:rFonts w:hint="eastAsia" w:ascii="仿宋_GB2312" w:hAnsi="仿宋_GB2312" w:eastAsia="仿宋_GB2312" w:cs="仿宋_GB2312"/>
          <w:kern w:val="1"/>
          <w:sz w:val="32"/>
          <w:szCs w:val="32"/>
          <w:lang w:val="en-US" w:eastAsia="zh-CN"/>
        </w:rPr>
        <w:t>（</w:t>
      </w:r>
      <w:r>
        <w:rPr>
          <w:rFonts w:ascii="仿宋_GB2312" w:hAnsi="仿宋_GB2312" w:eastAsia="仿宋_GB2312" w:cs="仿宋_GB2312"/>
          <w:kern w:val="1"/>
          <w:sz w:val="32"/>
          <w:szCs w:val="32"/>
          <w:lang w:val="en-US" w:eastAsia="zh-CN"/>
        </w:rPr>
        <w:t>室外）配套设施购置</w:t>
      </w:r>
      <w:r>
        <w:rPr>
          <w:rFonts w:hint="eastAsia" w:ascii="仿宋_GB2312" w:hAnsi="仿宋_GB2312" w:eastAsia="仿宋_GB2312" w:cs="仿宋_GB2312"/>
          <w:kern w:val="1"/>
          <w:sz w:val="32"/>
          <w:szCs w:val="32"/>
          <w:lang w:val="en-US" w:eastAsia="zh-CN"/>
        </w:rPr>
        <w:t>及（室内）</w:t>
      </w:r>
      <w:r>
        <w:rPr>
          <w:rFonts w:ascii="仿宋_GB2312" w:hAnsi="仿宋_GB2312" w:eastAsia="仿宋_GB2312" w:cs="仿宋_GB2312"/>
          <w:kern w:val="1"/>
          <w:sz w:val="32"/>
          <w:szCs w:val="32"/>
          <w:lang w:val="en-US" w:eastAsia="zh-CN"/>
        </w:rPr>
        <w:t>配套设施购置</w:t>
      </w:r>
      <w:r>
        <w:rPr>
          <w:rFonts w:hint="eastAsia" w:ascii="仿宋_GB2312" w:hAnsi="仿宋_GB2312" w:eastAsia="仿宋_GB2312" w:cs="仿宋_GB2312"/>
          <w:kern w:val="1"/>
          <w:sz w:val="32"/>
          <w:szCs w:val="32"/>
          <w:lang w:val="en-US" w:eastAsia="zh-CN"/>
        </w:rPr>
        <w:t>尾款资金34.01万元。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kern w:val="1"/>
          <w:sz w:val="32"/>
          <w:szCs w:val="32"/>
          <w:lang w:eastAsia="zh-CN"/>
        </w:rPr>
      </w:pPr>
      <w:r>
        <w:rPr>
          <w:rFonts w:hint="eastAsia" w:ascii="仿宋_GB2312" w:hAnsi="仿宋_GB2312" w:eastAsia="仿宋_GB2312" w:cs="仿宋_GB2312"/>
          <w:b/>
          <w:kern w:val="1"/>
          <w:sz w:val="32"/>
          <w:szCs w:val="32"/>
          <w:lang w:val="en-US" w:eastAsia="zh-CN"/>
        </w:rPr>
        <w:t>5.</w:t>
      </w:r>
      <w:r>
        <w:rPr>
          <w:rFonts w:ascii="仿宋_GB2312" w:hAnsi="仿宋_GB2312" w:eastAsia="仿宋_GB2312" w:cs="仿宋_GB2312"/>
          <w:b/>
          <w:kern w:val="1"/>
          <w:sz w:val="32"/>
          <w:szCs w:val="32"/>
        </w:rPr>
        <w:t>公共安全支出（类）法院（款）其他法院支出（项）</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ascii="仿宋_GB2312" w:hAnsi="仿宋_GB2312" w:eastAsia="仿宋_GB2312" w:cs="仿宋_GB2312"/>
          <w:kern w:val="1"/>
          <w:sz w:val="32"/>
          <w:szCs w:val="32"/>
        </w:rPr>
      </w:pPr>
      <w:r>
        <w:rPr>
          <w:rFonts w:ascii="仿宋_GB2312" w:hAnsi="仿宋_GB2312" w:eastAsia="仿宋_GB2312" w:cs="仿宋_GB2312"/>
          <w:kern w:val="1"/>
          <w:sz w:val="32"/>
          <w:szCs w:val="32"/>
        </w:rPr>
        <w:t>年初预算为</w:t>
      </w:r>
      <w:r>
        <w:rPr>
          <w:rFonts w:hint="eastAsia" w:ascii="仿宋_GB2312" w:hAnsi="仿宋_GB2312" w:eastAsia="仿宋_GB2312" w:cs="仿宋_GB2312"/>
          <w:kern w:val="1"/>
          <w:sz w:val="32"/>
          <w:szCs w:val="32"/>
          <w:lang w:val="en-US" w:eastAsia="zh-CN"/>
        </w:rPr>
        <w:t>1300.17</w:t>
      </w:r>
      <w:r>
        <w:rPr>
          <w:rFonts w:ascii="仿宋_GB2312" w:hAnsi="仿宋_GB2312" w:eastAsia="仿宋_GB2312" w:cs="仿宋_GB2312"/>
          <w:kern w:val="1"/>
          <w:sz w:val="32"/>
          <w:szCs w:val="32"/>
        </w:rPr>
        <w:t>万元，支出决算为</w:t>
      </w:r>
      <w:r>
        <w:rPr>
          <w:rFonts w:hint="eastAsia" w:ascii="仿宋_GB2312" w:hAnsi="仿宋_GB2312" w:eastAsia="仿宋_GB2312" w:cs="仿宋_GB2312"/>
          <w:kern w:val="1"/>
          <w:sz w:val="32"/>
          <w:szCs w:val="32"/>
          <w:lang w:val="en-US" w:eastAsia="zh-CN"/>
        </w:rPr>
        <w:t>1169.90</w:t>
      </w:r>
      <w:r>
        <w:rPr>
          <w:rFonts w:ascii="仿宋_GB2312" w:hAnsi="仿宋_GB2312" w:eastAsia="仿宋_GB2312" w:cs="仿宋_GB2312"/>
          <w:kern w:val="1"/>
          <w:sz w:val="32"/>
          <w:szCs w:val="32"/>
        </w:rPr>
        <w:t>万元，完成年初预算的</w:t>
      </w:r>
      <w:r>
        <w:rPr>
          <w:rFonts w:hint="eastAsia" w:ascii="仿宋_GB2312" w:hAnsi="仿宋_GB2312" w:eastAsia="仿宋_GB2312" w:cs="仿宋_GB2312"/>
          <w:kern w:val="1"/>
          <w:sz w:val="32"/>
          <w:szCs w:val="32"/>
          <w:lang w:val="en-US" w:eastAsia="zh-CN"/>
        </w:rPr>
        <w:t>89.98</w:t>
      </w:r>
      <w:r>
        <w:rPr>
          <w:rFonts w:ascii="仿宋_GB2312" w:hAnsi="仿宋_GB2312" w:eastAsia="仿宋_GB2312" w:cs="仿宋_GB2312"/>
          <w:kern w:val="1"/>
          <w:sz w:val="32"/>
          <w:szCs w:val="32"/>
        </w:rPr>
        <w:t>%。决算数</w:t>
      </w:r>
      <w:r>
        <w:rPr>
          <w:rFonts w:hint="eastAsia" w:ascii="仿宋_GB2312" w:hAnsi="仿宋_GB2312" w:eastAsia="仿宋_GB2312" w:cs="仿宋_GB2312"/>
          <w:kern w:val="1"/>
          <w:sz w:val="32"/>
          <w:szCs w:val="32"/>
          <w:lang w:eastAsia="zh-CN"/>
        </w:rPr>
        <w:t>小</w:t>
      </w:r>
      <w:r>
        <w:rPr>
          <w:rFonts w:ascii="仿宋_GB2312" w:hAnsi="仿宋_GB2312" w:eastAsia="仿宋_GB2312" w:cs="仿宋_GB2312"/>
          <w:kern w:val="1"/>
          <w:sz w:val="32"/>
          <w:szCs w:val="32"/>
        </w:rPr>
        <w:t>于预算数的主要原因</w:t>
      </w:r>
      <w:r>
        <w:rPr>
          <w:rFonts w:hint="eastAsia" w:ascii="仿宋_GB2312" w:hAnsi="仿宋_GB2312" w:eastAsia="仿宋_GB2312" w:cs="仿宋_GB2312"/>
          <w:kern w:val="1"/>
          <w:sz w:val="32"/>
          <w:szCs w:val="32"/>
          <w:lang w:eastAsia="zh-CN"/>
        </w:rPr>
        <w:t>：一</w:t>
      </w:r>
      <w:r>
        <w:rPr>
          <w:rFonts w:ascii="仿宋_GB2312" w:hAnsi="仿宋_GB2312" w:eastAsia="仿宋_GB2312" w:cs="仿宋_GB2312"/>
          <w:kern w:val="1"/>
          <w:sz w:val="32"/>
          <w:szCs w:val="32"/>
        </w:rPr>
        <w:t>是</w:t>
      </w:r>
      <w:r>
        <w:rPr>
          <w:rFonts w:hint="eastAsia" w:ascii="仿宋_GB2312" w:hAnsi="仿宋_GB2312" w:eastAsia="仿宋_GB2312" w:cs="仿宋_GB2312"/>
          <w:kern w:val="1"/>
          <w:sz w:val="32"/>
          <w:szCs w:val="32"/>
          <w:lang w:eastAsia="zh-CN"/>
        </w:rPr>
        <w:t>司法救助经费未能有效开支，结</w:t>
      </w:r>
      <w:r>
        <w:rPr>
          <w:rFonts w:hint="eastAsia" w:ascii="仿宋_GB2312" w:hAnsi="仿宋_GB2312" w:eastAsia="仿宋_GB2312" w:cs="仿宋_GB2312"/>
          <w:kern w:val="1"/>
          <w:sz w:val="32"/>
          <w:szCs w:val="32"/>
          <w:lang w:val="en-US" w:eastAsia="zh-CN"/>
        </w:rPr>
        <w:t>余19万元；二是</w:t>
      </w:r>
      <w:r>
        <w:rPr>
          <w:rFonts w:ascii="仿宋_GB2312" w:hAnsi="仿宋_GB2312" w:eastAsia="仿宋_GB2312" w:cs="仿宋_GB2312"/>
          <w:kern w:val="1"/>
          <w:sz w:val="32"/>
          <w:szCs w:val="32"/>
          <w:lang w:val="en-US" w:eastAsia="zh-CN"/>
        </w:rPr>
        <w:t>两房（庭）及装备更新维护</w:t>
      </w:r>
      <w:r>
        <w:rPr>
          <w:rFonts w:hint="eastAsia" w:ascii="仿宋_GB2312" w:hAnsi="仿宋_GB2312" w:eastAsia="仿宋_GB2312" w:cs="仿宋_GB2312"/>
          <w:kern w:val="1"/>
          <w:sz w:val="32"/>
          <w:szCs w:val="32"/>
          <w:lang w:val="en-US" w:eastAsia="zh-CN"/>
        </w:rPr>
        <w:t>项目开支减少，部分办公设备未实行采购，结余较多。</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kern w:val="1"/>
          <w:sz w:val="32"/>
          <w:szCs w:val="32"/>
          <w:lang w:eastAsia="zh-CN"/>
        </w:rPr>
      </w:pPr>
      <w:r>
        <w:rPr>
          <w:rFonts w:hint="eastAsia" w:ascii="仿宋_GB2312" w:hAnsi="仿宋_GB2312" w:eastAsia="仿宋_GB2312" w:cs="仿宋_GB2312"/>
          <w:b/>
          <w:kern w:val="1"/>
          <w:sz w:val="32"/>
          <w:szCs w:val="32"/>
          <w:lang w:val="en-US" w:eastAsia="zh-CN"/>
        </w:rPr>
        <w:t>6.</w:t>
      </w:r>
      <w:r>
        <w:rPr>
          <w:rFonts w:ascii="仿宋_GB2312" w:hAnsi="仿宋_GB2312" w:eastAsia="仿宋_GB2312" w:cs="仿宋_GB2312"/>
          <w:b/>
          <w:kern w:val="1"/>
          <w:sz w:val="32"/>
          <w:szCs w:val="32"/>
        </w:rPr>
        <w:t>社会保障和就业支出（类）</w:t>
      </w:r>
      <w:r>
        <w:rPr>
          <w:rFonts w:hint="eastAsia" w:ascii="仿宋_GB2312" w:hAnsi="仿宋_GB2312" w:eastAsia="仿宋_GB2312" w:cs="仿宋_GB2312"/>
          <w:b/>
          <w:kern w:val="1"/>
          <w:sz w:val="32"/>
          <w:szCs w:val="32"/>
          <w:lang w:eastAsia="zh-CN"/>
        </w:rPr>
        <w:t>行政</w:t>
      </w:r>
      <w:r>
        <w:rPr>
          <w:rFonts w:ascii="仿宋_GB2312" w:hAnsi="仿宋_GB2312" w:eastAsia="仿宋_GB2312" w:cs="仿宋_GB2312"/>
          <w:b/>
          <w:kern w:val="1"/>
          <w:sz w:val="32"/>
          <w:szCs w:val="32"/>
        </w:rPr>
        <w:t>事业单位养老支出（款）机关事业单位基本养老保险缴费支出（项）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1"/>
          <w:sz w:val="32"/>
          <w:szCs w:val="32"/>
          <w:lang w:eastAsia="zh-CN"/>
        </w:rPr>
      </w:pPr>
      <w:r>
        <w:rPr>
          <w:rFonts w:ascii="仿宋_GB2312" w:hAnsi="仿宋_GB2312" w:eastAsia="仿宋_GB2312" w:cs="仿宋_GB2312"/>
          <w:kern w:val="1"/>
          <w:sz w:val="32"/>
          <w:szCs w:val="32"/>
        </w:rPr>
        <w:t>年初预算为</w:t>
      </w:r>
      <w:r>
        <w:rPr>
          <w:rFonts w:hint="eastAsia" w:ascii="仿宋_GB2312" w:hAnsi="仿宋_GB2312" w:eastAsia="仿宋_GB2312" w:cs="仿宋_GB2312"/>
          <w:kern w:val="1"/>
          <w:sz w:val="32"/>
          <w:szCs w:val="32"/>
          <w:lang w:val="en-US" w:eastAsia="zh-CN"/>
        </w:rPr>
        <w:t>235.85</w:t>
      </w:r>
      <w:r>
        <w:rPr>
          <w:rFonts w:ascii="仿宋_GB2312" w:hAnsi="仿宋_GB2312" w:eastAsia="仿宋_GB2312" w:cs="仿宋_GB2312"/>
          <w:kern w:val="1"/>
          <w:sz w:val="32"/>
          <w:szCs w:val="32"/>
        </w:rPr>
        <w:t>万元，支出决算为</w:t>
      </w:r>
      <w:r>
        <w:rPr>
          <w:rFonts w:hint="eastAsia" w:ascii="仿宋_GB2312" w:hAnsi="仿宋_GB2312" w:eastAsia="仿宋_GB2312" w:cs="仿宋_GB2312"/>
          <w:kern w:val="1"/>
          <w:sz w:val="32"/>
          <w:szCs w:val="32"/>
          <w:lang w:val="en-US" w:eastAsia="zh-CN"/>
        </w:rPr>
        <w:t>226.80</w:t>
      </w:r>
      <w:r>
        <w:rPr>
          <w:rFonts w:ascii="仿宋_GB2312" w:hAnsi="仿宋_GB2312" w:eastAsia="仿宋_GB2312" w:cs="仿宋_GB2312"/>
          <w:kern w:val="1"/>
          <w:sz w:val="32"/>
          <w:szCs w:val="32"/>
        </w:rPr>
        <w:t>万元，完成年初预算的</w:t>
      </w:r>
      <w:r>
        <w:rPr>
          <w:rFonts w:hint="eastAsia" w:ascii="仿宋_GB2312" w:hAnsi="仿宋_GB2312" w:eastAsia="仿宋_GB2312" w:cs="仿宋_GB2312"/>
          <w:kern w:val="1"/>
          <w:sz w:val="32"/>
          <w:szCs w:val="32"/>
          <w:lang w:val="en-US" w:eastAsia="zh-CN"/>
        </w:rPr>
        <w:t>94.95</w:t>
      </w:r>
      <w:r>
        <w:rPr>
          <w:rFonts w:ascii="仿宋_GB2312" w:hAnsi="仿宋_GB2312" w:eastAsia="仿宋_GB2312" w:cs="仿宋_GB2312"/>
          <w:kern w:val="1"/>
          <w:sz w:val="32"/>
          <w:szCs w:val="32"/>
        </w:rPr>
        <w:t>%。决算数</w:t>
      </w:r>
      <w:r>
        <w:rPr>
          <w:rFonts w:hint="eastAsia" w:ascii="仿宋_GB2312" w:hAnsi="仿宋_GB2312" w:eastAsia="仿宋_GB2312" w:cs="仿宋_GB2312"/>
          <w:kern w:val="1"/>
          <w:sz w:val="32"/>
          <w:szCs w:val="32"/>
          <w:lang w:eastAsia="zh-CN"/>
        </w:rPr>
        <w:t>小</w:t>
      </w:r>
      <w:r>
        <w:rPr>
          <w:rFonts w:ascii="仿宋_GB2312" w:hAnsi="仿宋_GB2312" w:eastAsia="仿宋_GB2312" w:cs="仿宋_GB2312"/>
          <w:kern w:val="1"/>
          <w:sz w:val="32"/>
          <w:szCs w:val="32"/>
        </w:rPr>
        <w:t>于预算数的主要原因是</w:t>
      </w:r>
      <w:r>
        <w:rPr>
          <w:rFonts w:hint="eastAsia" w:ascii="仿宋_GB2312" w:hAnsi="仿宋_GB2312" w:eastAsia="仿宋_GB2312" w:cs="仿宋_GB2312"/>
          <w:kern w:val="1"/>
          <w:sz w:val="32"/>
          <w:szCs w:val="32"/>
          <w:lang w:eastAsia="zh-CN"/>
        </w:rPr>
        <w:t>部分在职人员调出，养老保险缴费有所减少。</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kern w:val="1"/>
          <w:sz w:val="32"/>
          <w:szCs w:val="32"/>
          <w:lang w:eastAsia="zh-CN"/>
        </w:rPr>
      </w:pPr>
      <w:r>
        <w:rPr>
          <w:rFonts w:hint="eastAsia" w:ascii="仿宋_GB2312" w:hAnsi="仿宋_GB2312" w:eastAsia="仿宋_GB2312" w:cs="仿宋_GB2312"/>
          <w:b/>
          <w:kern w:val="1"/>
          <w:sz w:val="32"/>
          <w:szCs w:val="32"/>
          <w:lang w:val="en-US" w:eastAsia="zh-CN"/>
        </w:rPr>
        <w:t>7.</w:t>
      </w:r>
      <w:r>
        <w:rPr>
          <w:rFonts w:ascii="仿宋_GB2312" w:hAnsi="仿宋_GB2312" w:eastAsia="仿宋_GB2312" w:cs="仿宋_GB2312"/>
          <w:b/>
          <w:kern w:val="1"/>
          <w:sz w:val="32"/>
          <w:szCs w:val="32"/>
        </w:rPr>
        <w:t>社会保障和就业支出（类）</w:t>
      </w:r>
      <w:r>
        <w:rPr>
          <w:rFonts w:hint="eastAsia" w:ascii="仿宋_GB2312" w:hAnsi="仿宋_GB2312" w:eastAsia="仿宋_GB2312" w:cs="仿宋_GB2312"/>
          <w:b/>
          <w:kern w:val="1"/>
          <w:sz w:val="32"/>
          <w:szCs w:val="32"/>
          <w:lang w:eastAsia="zh-CN"/>
        </w:rPr>
        <w:t>行政</w:t>
      </w:r>
      <w:r>
        <w:rPr>
          <w:rFonts w:ascii="仿宋_GB2312" w:hAnsi="仿宋_GB2312" w:eastAsia="仿宋_GB2312" w:cs="仿宋_GB2312"/>
          <w:b/>
          <w:kern w:val="1"/>
          <w:sz w:val="32"/>
          <w:szCs w:val="32"/>
        </w:rPr>
        <w:t>事业单位</w:t>
      </w:r>
      <w:r>
        <w:rPr>
          <w:rFonts w:hint="eastAsia" w:ascii="仿宋_GB2312" w:hAnsi="仿宋_GB2312" w:eastAsia="仿宋_GB2312" w:cs="仿宋_GB2312"/>
          <w:b/>
          <w:kern w:val="1"/>
          <w:sz w:val="32"/>
          <w:szCs w:val="32"/>
          <w:lang w:eastAsia="zh-CN"/>
        </w:rPr>
        <w:t>养老支出</w:t>
      </w:r>
      <w:r>
        <w:rPr>
          <w:rFonts w:ascii="仿宋_GB2312" w:hAnsi="仿宋_GB2312" w:eastAsia="仿宋_GB2312" w:cs="仿宋_GB2312"/>
          <w:b/>
          <w:kern w:val="1"/>
          <w:sz w:val="32"/>
          <w:szCs w:val="32"/>
        </w:rPr>
        <w:t>（款）机关事业单位职业年金缴费支出（项）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1"/>
          <w:sz w:val="32"/>
          <w:szCs w:val="32"/>
          <w:lang w:eastAsia="zh-CN"/>
        </w:rPr>
      </w:pPr>
      <w:r>
        <w:rPr>
          <w:rFonts w:ascii="仿宋_GB2312" w:hAnsi="仿宋_GB2312" w:eastAsia="仿宋_GB2312" w:cs="仿宋_GB2312"/>
          <w:kern w:val="1"/>
          <w:sz w:val="32"/>
          <w:szCs w:val="32"/>
        </w:rPr>
        <w:t>年初预算为</w:t>
      </w:r>
      <w:r>
        <w:rPr>
          <w:rFonts w:hint="eastAsia" w:ascii="仿宋_GB2312" w:hAnsi="仿宋_GB2312" w:eastAsia="仿宋_GB2312" w:cs="仿宋_GB2312"/>
          <w:kern w:val="1"/>
          <w:sz w:val="32"/>
          <w:szCs w:val="32"/>
          <w:lang w:val="en-US" w:eastAsia="zh-CN"/>
        </w:rPr>
        <w:t>279.17</w:t>
      </w:r>
      <w:r>
        <w:rPr>
          <w:rFonts w:ascii="仿宋_GB2312" w:hAnsi="仿宋_GB2312" w:eastAsia="仿宋_GB2312" w:cs="仿宋_GB2312"/>
          <w:kern w:val="1"/>
          <w:sz w:val="32"/>
          <w:szCs w:val="32"/>
        </w:rPr>
        <w:t>万元，支出决算为</w:t>
      </w:r>
      <w:r>
        <w:rPr>
          <w:rFonts w:hint="eastAsia" w:ascii="仿宋_GB2312" w:hAnsi="仿宋_GB2312" w:eastAsia="仿宋_GB2312" w:cs="仿宋_GB2312"/>
          <w:kern w:val="1"/>
          <w:sz w:val="32"/>
          <w:szCs w:val="32"/>
          <w:lang w:val="en-US" w:eastAsia="zh-CN"/>
        </w:rPr>
        <w:t>284.29</w:t>
      </w:r>
      <w:r>
        <w:rPr>
          <w:rFonts w:ascii="仿宋_GB2312" w:hAnsi="仿宋_GB2312" w:eastAsia="仿宋_GB2312" w:cs="仿宋_GB2312"/>
          <w:kern w:val="1"/>
          <w:sz w:val="32"/>
          <w:szCs w:val="32"/>
        </w:rPr>
        <w:t>万元，完成年初预算的</w:t>
      </w:r>
      <w:r>
        <w:rPr>
          <w:rFonts w:hint="eastAsia" w:ascii="仿宋_GB2312" w:hAnsi="仿宋_GB2312" w:eastAsia="仿宋_GB2312" w:cs="仿宋_GB2312"/>
          <w:kern w:val="1"/>
          <w:sz w:val="32"/>
          <w:szCs w:val="32"/>
          <w:lang w:val="en-US" w:eastAsia="zh-CN"/>
        </w:rPr>
        <w:t>101.83%</w:t>
      </w:r>
      <w:r>
        <w:rPr>
          <w:rFonts w:ascii="仿宋_GB2312" w:hAnsi="仿宋_GB2312" w:eastAsia="仿宋_GB2312" w:cs="仿宋_GB2312"/>
          <w:kern w:val="1"/>
          <w:sz w:val="32"/>
          <w:szCs w:val="32"/>
        </w:rPr>
        <w:t>。决算数</w:t>
      </w:r>
      <w:r>
        <w:rPr>
          <w:rFonts w:hint="eastAsia" w:ascii="仿宋_GB2312" w:hAnsi="仿宋_GB2312" w:eastAsia="仿宋_GB2312" w:cs="仿宋_GB2312"/>
          <w:kern w:val="1"/>
          <w:sz w:val="32"/>
          <w:szCs w:val="32"/>
          <w:lang w:eastAsia="zh-CN"/>
        </w:rPr>
        <w:t>大</w:t>
      </w:r>
      <w:r>
        <w:rPr>
          <w:rFonts w:ascii="仿宋_GB2312" w:hAnsi="仿宋_GB2312" w:eastAsia="仿宋_GB2312" w:cs="仿宋_GB2312"/>
          <w:kern w:val="1"/>
          <w:sz w:val="32"/>
          <w:szCs w:val="32"/>
        </w:rPr>
        <w:t>于预算数的主要原因是</w:t>
      </w:r>
      <w:r>
        <w:rPr>
          <w:rFonts w:hint="eastAsia" w:ascii="仿宋_GB2312" w:hAnsi="仿宋_GB2312" w:eastAsia="仿宋_GB2312" w:cs="仿宋_GB2312"/>
          <w:kern w:val="1"/>
          <w:sz w:val="32"/>
          <w:szCs w:val="32"/>
          <w:lang w:eastAsia="zh-CN"/>
        </w:rPr>
        <w:t>根据规定对部分退休人员的职业年金进行记实补缴，因此职业年金开支有所增加。</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kern w:val="1"/>
          <w:sz w:val="32"/>
          <w:szCs w:val="32"/>
          <w:lang w:eastAsia="zh-CN"/>
        </w:rPr>
      </w:pPr>
      <w:r>
        <w:rPr>
          <w:rFonts w:hint="eastAsia" w:ascii="仿宋_GB2312" w:hAnsi="仿宋_GB2312" w:eastAsia="仿宋_GB2312" w:cs="仿宋_GB2312"/>
          <w:b/>
          <w:kern w:val="1"/>
          <w:sz w:val="32"/>
          <w:szCs w:val="32"/>
          <w:lang w:val="en-US" w:eastAsia="zh-CN"/>
        </w:rPr>
        <w:t>8.</w:t>
      </w:r>
      <w:r>
        <w:rPr>
          <w:rFonts w:ascii="仿宋_GB2312" w:hAnsi="仿宋_GB2312" w:eastAsia="仿宋_GB2312" w:cs="仿宋_GB2312"/>
          <w:b/>
          <w:kern w:val="1"/>
          <w:sz w:val="32"/>
          <w:szCs w:val="32"/>
        </w:rPr>
        <w:t>社会保障和就业支出（类）抚恤（款）其他优抚支出（项）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kern w:val="1"/>
          <w:sz w:val="32"/>
          <w:szCs w:val="32"/>
        </w:rPr>
      </w:pPr>
      <w:r>
        <w:rPr>
          <w:rFonts w:ascii="仿宋_GB2312" w:hAnsi="仿宋_GB2312" w:eastAsia="仿宋_GB2312" w:cs="仿宋_GB2312"/>
          <w:kern w:val="1"/>
          <w:sz w:val="32"/>
          <w:szCs w:val="32"/>
        </w:rPr>
        <w:t>年初预算为</w:t>
      </w:r>
      <w:r>
        <w:rPr>
          <w:rFonts w:hint="eastAsia" w:ascii="仿宋_GB2312" w:hAnsi="仿宋_GB2312" w:eastAsia="仿宋_GB2312" w:cs="仿宋_GB2312"/>
          <w:kern w:val="1"/>
          <w:sz w:val="32"/>
          <w:szCs w:val="32"/>
          <w:lang w:val="en-US" w:eastAsia="zh-CN"/>
        </w:rPr>
        <w:t>3.28</w:t>
      </w:r>
      <w:r>
        <w:rPr>
          <w:rFonts w:ascii="仿宋_GB2312" w:hAnsi="仿宋_GB2312" w:eastAsia="仿宋_GB2312" w:cs="仿宋_GB2312"/>
          <w:kern w:val="1"/>
          <w:sz w:val="32"/>
          <w:szCs w:val="32"/>
        </w:rPr>
        <w:t>万元，支出决算为</w:t>
      </w:r>
      <w:r>
        <w:rPr>
          <w:rFonts w:hint="eastAsia" w:ascii="仿宋_GB2312" w:hAnsi="仿宋_GB2312" w:eastAsia="仿宋_GB2312" w:cs="仿宋_GB2312"/>
          <w:kern w:val="1"/>
          <w:sz w:val="32"/>
          <w:szCs w:val="32"/>
          <w:lang w:val="en-US" w:eastAsia="zh-CN"/>
        </w:rPr>
        <w:t>5.57</w:t>
      </w:r>
      <w:r>
        <w:rPr>
          <w:rFonts w:ascii="仿宋_GB2312" w:hAnsi="仿宋_GB2312" w:eastAsia="仿宋_GB2312" w:cs="仿宋_GB2312"/>
          <w:kern w:val="1"/>
          <w:sz w:val="32"/>
          <w:szCs w:val="32"/>
        </w:rPr>
        <w:t>万元，完成年初预算的</w:t>
      </w:r>
      <w:r>
        <w:rPr>
          <w:rFonts w:hint="eastAsia" w:ascii="仿宋_GB2312" w:hAnsi="仿宋_GB2312" w:eastAsia="仿宋_GB2312" w:cs="仿宋_GB2312"/>
          <w:kern w:val="1"/>
          <w:sz w:val="32"/>
          <w:szCs w:val="32"/>
          <w:lang w:val="en-US" w:eastAsia="zh-CN"/>
        </w:rPr>
        <w:t>169.82</w:t>
      </w:r>
      <w:r>
        <w:rPr>
          <w:rFonts w:ascii="仿宋_GB2312" w:hAnsi="仿宋_GB2312" w:eastAsia="仿宋_GB2312" w:cs="仿宋_GB2312"/>
          <w:kern w:val="1"/>
          <w:sz w:val="32"/>
          <w:szCs w:val="32"/>
        </w:rPr>
        <w:t>%。决算数</w:t>
      </w:r>
      <w:r>
        <w:rPr>
          <w:rFonts w:hint="eastAsia" w:ascii="仿宋_GB2312" w:hAnsi="仿宋_GB2312" w:eastAsia="仿宋_GB2312" w:cs="仿宋_GB2312"/>
          <w:kern w:val="1"/>
          <w:sz w:val="32"/>
          <w:szCs w:val="32"/>
          <w:lang w:eastAsia="zh-CN"/>
        </w:rPr>
        <w:t>大</w:t>
      </w:r>
      <w:r>
        <w:rPr>
          <w:rFonts w:ascii="仿宋_GB2312" w:hAnsi="仿宋_GB2312" w:eastAsia="仿宋_GB2312" w:cs="仿宋_GB2312"/>
          <w:kern w:val="1"/>
          <w:sz w:val="32"/>
          <w:szCs w:val="32"/>
        </w:rPr>
        <w:t>于预算数的主要原因是</w:t>
      </w:r>
      <w:r>
        <w:rPr>
          <w:rFonts w:hint="default" w:ascii="仿宋_GB2312" w:hAnsi="仿宋_GB2312" w:eastAsia="仿宋_GB2312" w:cs="仿宋_GB2312"/>
          <w:kern w:val="1"/>
          <w:sz w:val="32"/>
          <w:szCs w:val="32"/>
          <w:lang w:val="en" w:eastAsia="zh-CN"/>
        </w:rPr>
        <w:t>2024</w:t>
      </w:r>
      <w:r>
        <w:rPr>
          <w:rFonts w:hint="eastAsia" w:ascii="仿宋_GB2312" w:hAnsi="仿宋_GB2312" w:eastAsia="仿宋_GB2312" w:cs="仿宋_GB2312"/>
          <w:kern w:val="1"/>
          <w:sz w:val="32"/>
          <w:szCs w:val="32"/>
          <w:lang w:val="en" w:eastAsia="zh-CN"/>
        </w:rPr>
        <w:t>年</w:t>
      </w:r>
      <w:r>
        <w:rPr>
          <w:rFonts w:hint="eastAsia" w:ascii="仿宋_GB2312" w:hAnsi="仿宋_GB2312" w:eastAsia="仿宋_GB2312" w:cs="仿宋_GB2312"/>
          <w:kern w:val="1"/>
          <w:sz w:val="32"/>
          <w:szCs w:val="32"/>
          <w:lang w:eastAsia="zh-CN"/>
        </w:rPr>
        <w:t>遗属人员补助标准提高，根据实际情况增加了部分优抚经费支出。</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kern w:val="1"/>
          <w:sz w:val="32"/>
          <w:szCs w:val="32"/>
          <w:lang w:eastAsia="zh-CN"/>
        </w:rPr>
      </w:pPr>
      <w:r>
        <w:rPr>
          <w:rFonts w:hint="eastAsia" w:ascii="仿宋_GB2312" w:hAnsi="仿宋_GB2312" w:eastAsia="仿宋_GB2312" w:cs="仿宋_GB2312"/>
          <w:b/>
          <w:kern w:val="1"/>
          <w:sz w:val="32"/>
          <w:szCs w:val="32"/>
          <w:lang w:val="en-US" w:eastAsia="zh-CN"/>
        </w:rPr>
        <w:t>9.</w:t>
      </w:r>
      <w:r>
        <w:rPr>
          <w:rFonts w:ascii="仿宋_GB2312" w:hAnsi="仿宋_GB2312" w:eastAsia="仿宋_GB2312" w:cs="仿宋_GB2312"/>
          <w:b/>
          <w:kern w:val="1"/>
          <w:sz w:val="32"/>
          <w:szCs w:val="32"/>
        </w:rPr>
        <w:t>卫生健康支出（类）行政事业单位医疗（款）行政单位医疗（项）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1"/>
          <w:sz w:val="32"/>
          <w:szCs w:val="32"/>
          <w:lang w:eastAsia="zh-CN"/>
        </w:rPr>
      </w:pPr>
      <w:r>
        <w:rPr>
          <w:rFonts w:ascii="仿宋_GB2312" w:hAnsi="仿宋_GB2312" w:eastAsia="仿宋_GB2312" w:cs="仿宋_GB2312"/>
          <w:kern w:val="1"/>
          <w:sz w:val="32"/>
          <w:szCs w:val="32"/>
        </w:rPr>
        <w:t>年初预算为</w:t>
      </w:r>
      <w:r>
        <w:rPr>
          <w:rFonts w:hint="eastAsia" w:ascii="仿宋_GB2312" w:hAnsi="仿宋_GB2312" w:eastAsia="仿宋_GB2312" w:cs="仿宋_GB2312"/>
          <w:kern w:val="1"/>
          <w:sz w:val="32"/>
          <w:szCs w:val="32"/>
          <w:lang w:val="en-US" w:eastAsia="zh-CN"/>
        </w:rPr>
        <w:t>109.26</w:t>
      </w:r>
      <w:r>
        <w:rPr>
          <w:rFonts w:ascii="仿宋_GB2312" w:hAnsi="仿宋_GB2312" w:eastAsia="仿宋_GB2312" w:cs="仿宋_GB2312"/>
          <w:kern w:val="1"/>
          <w:sz w:val="32"/>
          <w:szCs w:val="32"/>
        </w:rPr>
        <w:t>万元，支出决算为</w:t>
      </w:r>
      <w:r>
        <w:rPr>
          <w:rFonts w:hint="eastAsia" w:ascii="仿宋_GB2312" w:hAnsi="仿宋_GB2312" w:eastAsia="仿宋_GB2312" w:cs="仿宋_GB2312"/>
          <w:kern w:val="1"/>
          <w:sz w:val="32"/>
          <w:szCs w:val="32"/>
          <w:lang w:val="en-US" w:eastAsia="zh-CN"/>
        </w:rPr>
        <w:t>92.26</w:t>
      </w:r>
      <w:r>
        <w:rPr>
          <w:rFonts w:ascii="仿宋_GB2312" w:hAnsi="仿宋_GB2312" w:eastAsia="仿宋_GB2312" w:cs="仿宋_GB2312"/>
          <w:kern w:val="1"/>
          <w:sz w:val="32"/>
          <w:szCs w:val="32"/>
        </w:rPr>
        <w:t>万元，完成年初预算的</w:t>
      </w:r>
      <w:r>
        <w:rPr>
          <w:rFonts w:hint="eastAsia" w:ascii="仿宋_GB2312" w:hAnsi="仿宋_GB2312" w:eastAsia="仿宋_GB2312" w:cs="仿宋_GB2312"/>
          <w:kern w:val="1"/>
          <w:sz w:val="32"/>
          <w:szCs w:val="32"/>
          <w:lang w:val="en-US" w:eastAsia="zh-CN"/>
        </w:rPr>
        <w:t>84.47</w:t>
      </w:r>
      <w:r>
        <w:rPr>
          <w:rFonts w:ascii="仿宋_GB2312" w:hAnsi="仿宋_GB2312" w:eastAsia="仿宋_GB2312" w:cs="仿宋_GB2312"/>
          <w:kern w:val="1"/>
          <w:sz w:val="32"/>
          <w:szCs w:val="32"/>
        </w:rPr>
        <w:t>%。决算数</w:t>
      </w:r>
      <w:r>
        <w:rPr>
          <w:rFonts w:hint="eastAsia" w:ascii="仿宋_GB2312" w:hAnsi="仿宋_GB2312" w:eastAsia="仿宋_GB2312" w:cs="仿宋_GB2312"/>
          <w:kern w:val="1"/>
          <w:sz w:val="32"/>
          <w:szCs w:val="32"/>
          <w:lang w:eastAsia="zh-CN"/>
        </w:rPr>
        <w:t>小</w:t>
      </w:r>
      <w:r>
        <w:rPr>
          <w:rFonts w:ascii="仿宋_GB2312" w:hAnsi="仿宋_GB2312" w:eastAsia="仿宋_GB2312" w:cs="仿宋_GB2312"/>
          <w:kern w:val="1"/>
          <w:sz w:val="32"/>
          <w:szCs w:val="32"/>
        </w:rPr>
        <w:t>于预算数的主要原因是</w:t>
      </w:r>
      <w:r>
        <w:rPr>
          <w:rFonts w:hint="eastAsia" w:ascii="仿宋_GB2312" w:hAnsi="仿宋_GB2312" w:eastAsia="仿宋_GB2312" w:cs="仿宋_GB2312"/>
          <w:kern w:val="1"/>
          <w:sz w:val="32"/>
          <w:szCs w:val="32"/>
          <w:lang w:eastAsia="zh-CN"/>
        </w:rPr>
        <w:t>部分在职人员调出，医疗保险缴费有所减少。</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kern w:val="1"/>
          <w:sz w:val="32"/>
          <w:szCs w:val="32"/>
          <w:lang w:eastAsia="zh-CN"/>
        </w:rPr>
      </w:pPr>
      <w:r>
        <w:rPr>
          <w:rFonts w:ascii="仿宋_GB2312" w:hAnsi="仿宋_GB2312" w:eastAsia="仿宋_GB2312" w:cs="仿宋_GB2312"/>
          <w:b/>
          <w:kern w:val="1"/>
          <w:sz w:val="32"/>
          <w:szCs w:val="32"/>
        </w:rPr>
        <w:t>卫生健康支出（类）行政事业单位医疗（款）公务员医疗补助（项）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kern w:val="1"/>
          <w:sz w:val="32"/>
          <w:szCs w:val="32"/>
        </w:rPr>
      </w:pPr>
      <w:r>
        <w:rPr>
          <w:rFonts w:ascii="仿宋_GB2312" w:hAnsi="仿宋_GB2312" w:eastAsia="仿宋_GB2312" w:cs="仿宋_GB2312"/>
          <w:kern w:val="1"/>
          <w:sz w:val="32"/>
          <w:szCs w:val="32"/>
        </w:rPr>
        <w:t>年初预算为</w:t>
      </w:r>
      <w:r>
        <w:rPr>
          <w:rFonts w:hint="eastAsia" w:ascii="仿宋_GB2312" w:hAnsi="仿宋_GB2312" w:eastAsia="仿宋_GB2312" w:cs="仿宋_GB2312"/>
          <w:kern w:val="1"/>
          <w:sz w:val="32"/>
          <w:szCs w:val="32"/>
          <w:lang w:val="en-US" w:eastAsia="zh-CN"/>
        </w:rPr>
        <w:t>285.73</w:t>
      </w:r>
      <w:r>
        <w:rPr>
          <w:rFonts w:ascii="仿宋_GB2312" w:hAnsi="仿宋_GB2312" w:eastAsia="仿宋_GB2312" w:cs="仿宋_GB2312"/>
          <w:kern w:val="1"/>
          <w:sz w:val="32"/>
          <w:szCs w:val="32"/>
        </w:rPr>
        <w:t>万元，支出决算为</w:t>
      </w:r>
      <w:r>
        <w:rPr>
          <w:rFonts w:hint="eastAsia" w:ascii="仿宋_GB2312" w:hAnsi="仿宋_GB2312" w:eastAsia="仿宋_GB2312" w:cs="仿宋_GB2312"/>
          <w:kern w:val="1"/>
          <w:sz w:val="32"/>
          <w:szCs w:val="32"/>
          <w:lang w:val="en-US" w:eastAsia="zh-CN"/>
        </w:rPr>
        <w:t>274.33</w:t>
      </w:r>
      <w:r>
        <w:rPr>
          <w:rFonts w:ascii="仿宋_GB2312" w:hAnsi="仿宋_GB2312" w:eastAsia="仿宋_GB2312" w:cs="仿宋_GB2312"/>
          <w:kern w:val="1"/>
          <w:sz w:val="32"/>
          <w:szCs w:val="32"/>
        </w:rPr>
        <w:t>万元，完成年初预算的</w:t>
      </w:r>
      <w:r>
        <w:rPr>
          <w:rFonts w:hint="eastAsia" w:ascii="仿宋_GB2312" w:hAnsi="仿宋_GB2312" w:eastAsia="仿宋_GB2312" w:cs="仿宋_GB2312"/>
          <w:kern w:val="1"/>
          <w:sz w:val="32"/>
          <w:szCs w:val="32"/>
          <w:lang w:val="en-US" w:eastAsia="zh-CN"/>
        </w:rPr>
        <w:t>96.01</w:t>
      </w:r>
      <w:r>
        <w:rPr>
          <w:rFonts w:ascii="仿宋_GB2312" w:hAnsi="仿宋_GB2312" w:eastAsia="仿宋_GB2312" w:cs="仿宋_GB2312"/>
          <w:kern w:val="1"/>
          <w:sz w:val="32"/>
          <w:szCs w:val="32"/>
        </w:rPr>
        <w:t>%。决算数</w:t>
      </w:r>
      <w:r>
        <w:rPr>
          <w:rFonts w:hint="eastAsia" w:ascii="仿宋_GB2312" w:hAnsi="仿宋_GB2312" w:eastAsia="仿宋_GB2312" w:cs="仿宋_GB2312"/>
          <w:kern w:val="1"/>
          <w:sz w:val="32"/>
          <w:szCs w:val="32"/>
          <w:lang w:eastAsia="zh-CN"/>
        </w:rPr>
        <w:t>小</w:t>
      </w:r>
      <w:r>
        <w:rPr>
          <w:rFonts w:ascii="仿宋_GB2312" w:hAnsi="仿宋_GB2312" w:eastAsia="仿宋_GB2312" w:cs="仿宋_GB2312"/>
          <w:kern w:val="1"/>
          <w:sz w:val="32"/>
          <w:szCs w:val="32"/>
        </w:rPr>
        <w:t>于预算数的主要原因是</w:t>
      </w:r>
      <w:r>
        <w:rPr>
          <w:rFonts w:hint="eastAsia" w:ascii="仿宋_GB2312" w:hAnsi="仿宋_GB2312" w:eastAsia="仿宋_GB2312" w:cs="仿宋_GB2312"/>
          <w:kern w:val="1"/>
          <w:sz w:val="32"/>
          <w:szCs w:val="32"/>
          <w:lang w:eastAsia="zh-CN"/>
        </w:rPr>
        <w:t>部分在职人员调出，公务员医疗补助缴费有所减少。</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kern w:val="1"/>
          <w:sz w:val="32"/>
          <w:szCs w:val="32"/>
          <w:lang w:eastAsia="zh-CN"/>
        </w:rPr>
      </w:pPr>
      <w:r>
        <w:rPr>
          <w:rFonts w:ascii="仿宋_GB2312" w:hAnsi="仿宋_GB2312" w:eastAsia="仿宋_GB2312" w:cs="仿宋_GB2312"/>
          <w:b/>
          <w:kern w:val="1"/>
          <w:sz w:val="32"/>
          <w:szCs w:val="32"/>
        </w:rPr>
        <w:t>住房保障支出（类）住房改革支出（款）住房公积金（项）</w:t>
      </w:r>
    </w:p>
    <w:p>
      <w:pPr>
        <w:keepNext w:val="0"/>
        <w:keepLines w:val="0"/>
        <w:pageBreakBefore w:val="0"/>
        <w:numPr>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kern w:val="1"/>
          <w:sz w:val="32"/>
          <w:szCs w:val="32"/>
        </w:rPr>
      </w:pPr>
      <w:r>
        <w:rPr>
          <w:rFonts w:ascii="仿宋_GB2312" w:hAnsi="仿宋_GB2312" w:eastAsia="仿宋_GB2312" w:cs="仿宋_GB2312"/>
          <w:kern w:val="1"/>
          <w:sz w:val="32"/>
          <w:szCs w:val="32"/>
        </w:rPr>
        <w:t>年初预算为</w:t>
      </w:r>
      <w:r>
        <w:rPr>
          <w:rFonts w:hint="eastAsia" w:ascii="仿宋_GB2312" w:hAnsi="仿宋_GB2312" w:eastAsia="仿宋_GB2312" w:cs="仿宋_GB2312"/>
          <w:kern w:val="1"/>
          <w:sz w:val="32"/>
          <w:szCs w:val="32"/>
          <w:lang w:val="en-US" w:eastAsia="zh-CN"/>
        </w:rPr>
        <w:t>210.88</w:t>
      </w:r>
      <w:r>
        <w:rPr>
          <w:rFonts w:ascii="仿宋_GB2312" w:hAnsi="仿宋_GB2312" w:eastAsia="仿宋_GB2312" w:cs="仿宋_GB2312"/>
          <w:kern w:val="1"/>
          <w:sz w:val="32"/>
          <w:szCs w:val="32"/>
        </w:rPr>
        <w:t>万元，支出决算为</w:t>
      </w:r>
      <w:r>
        <w:rPr>
          <w:rFonts w:hint="eastAsia" w:ascii="仿宋_GB2312" w:hAnsi="仿宋_GB2312" w:eastAsia="仿宋_GB2312" w:cs="仿宋_GB2312"/>
          <w:kern w:val="1"/>
          <w:sz w:val="32"/>
          <w:szCs w:val="32"/>
          <w:lang w:val="en-US" w:eastAsia="zh-CN"/>
        </w:rPr>
        <w:t>243.03</w:t>
      </w:r>
      <w:r>
        <w:rPr>
          <w:rFonts w:ascii="仿宋_GB2312" w:hAnsi="仿宋_GB2312" w:eastAsia="仿宋_GB2312" w:cs="仿宋_GB2312"/>
          <w:kern w:val="1"/>
          <w:sz w:val="32"/>
          <w:szCs w:val="32"/>
        </w:rPr>
        <w:t>万元，完成年初预算的</w:t>
      </w:r>
      <w:r>
        <w:rPr>
          <w:rFonts w:hint="eastAsia" w:ascii="仿宋_GB2312" w:hAnsi="仿宋_GB2312" w:eastAsia="仿宋_GB2312" w:cs="仿宋_GB2312"/>
          <w:kern w:val="1"/>
          <w:sz w:val="32"/>
          <w:szCs w:val="32"/>
          <w:lang w:val="en-US" w:eastAsia="zh-CN"/>
        </w:rPr>
        <w:t>115.25</w:t>
      </w:r>
      <w:r>
        <w:rPr>
          <w:rFonts w:ascii="仿宋_GB2312" w:hAnsi="仿宋_GB2312" w:eastAsia="仿宋_GB2312" w:cs="仿宋_GB2312"/>
          <w:kern w:val="1"/>
          <w:sz w:val="32"/>
          <w:szCs w:val="32"/>
        </w:rPr>
        <w:t>%。决算数大于预算数的主要原因是</w:t>
      </w:r>
      <w:r>
        <w:rPr>
          <w:rFonts w:ascii="仿宋_GB2312" w:hAnsi="仿宋_GB2312" w:eastAsia="仿宋_GB2312" w:cs="黑体"/>
          <w:kern w:val="1"/>
          <w:sz w:val="32"/>
          <w:szCs w:val="32"/>
        </w:rPr>
        <w:t>部分干警正常晋升、调资等，</w:t>
      </w:r>
      <w:r>
        <w:rPr>
          <w:rFonts w:hint="eastAsia" w:ascii="仿宋_GB2312" w:hAnsi="仿宋_GB2312" w:eastAsia="仿宋_GB2312" w:cs="宋体"/>
          <w:sz w:val="32"/>
          <w:szCs w:val="30"/>
          <w:lang w:eastAsia="zh-CN"/>
        </w:rPr>
        <w:t>公积金缴费基数</w:t>
      </w:r>
      <w:r>
        <w:rPr>
          <w:rFonts w:ascii="仿宋_GB2312" w:hAnsi="仿宋_GB2312" w:eastAsia="仿宋_GB2312" w:cs="宋体"/>
          <w:sz w:val="32"/>
          <w:szCs w:val="30"/>
        </w:rPr>
        <w:t>增加，</w:t>
      </w:r>
      <w:r>
        <w:rPr>
          <w:rFonts w:hint="eastAsia" w:ascii="仿宋_GB2312" w:hAnsi="仿宋_GB2312" w:eastAsia="仿宋_GB2312" w:cs="宋体"/>
          <w:sz w:val="32"/>
          <w:szCs w:val="30"/>
          <w:lang w:eastAsia="zh-CN"/>
        </w:rPr>
        <w:t>因而</w:t>
      </w:r>
      <w:r>
        <w:rPr>
          <w:rFonts w:hint="eastAsia" w:ascii="仿宋_GB2312" w:hAnsi="仿宋_GB2312" w:eastAsia="仿宋_GB2312" w:cs="仿宋_GB2312"/>
          <w:kern w:val="1"/>
          <w:sz w:val="32"/>
          <w:szCs w:val="32"/>
          <w:lang w:eastAsia="zh-CN"/>
        </w:rPr>
        <w:t>公积金缴费有所增加</w:t>
      </w:r>
      <w:r>
        <w:rPr>
          <w:rFonts w:ascii="仿宋_GB2312" w:hAnsi="仿宋_GB2312" w:eastAsia="仿宋_GB2312" w:cs="仿宋_GB2312"/>
          <w:kern w:val="1"/>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keepNext w:val="0"/>
        <w:keepLines w:val="0"/>
        <w:pageBreakBefore w:val="0"/>
        <w:widowControl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lang w:eastAsia="zh-CN"/>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年度财政拨款基本支出</w:t>
      </w:r>
      <w:r>
        <w:rPr>
          <w:rFonts w:hint="eastAsia" w:ascii="仿宋_GB2312" w:hAnsi="ˎ̥" w:eastAsia="仿宋_GB2312"/>
          <w:color w:val="auto"/>
          <w:sz w:val="32"/>
          <w:szCs w:val="32"/>
          <w:lang w:val="en-US" w:eastAsia="zh-CN"/>
        </w:rPr>
        <w:t>4644.82</w:t>
      </w:r>
      <w:r>
        <w:rPr>
          <w:rFonts w:hint="eastAsia" w:ascii="仿宋_GB2312" w:hAnsi="ˎ̥" w:eastAsia="仿宋_GB2312"/>
          <w:color w:val="auto"/>
          <w:sz w:val="32"/>
          <w:szCs w:val="32"/>
        </w:rPr>
        <w:t>万元，其中：人员经费</w:t>
      </w:r>
      <w:r>
        <w:rPr>
          <w:rFonts w:ascii="仿宋_GB2312" w:hAnsi="ˎ̥" w:eastAsia="仿宋_GB2312"/>
          <w:color w:val="auto"/>
          <w:sz w:val="32"/>
          <w:szCs w:val="32"/>
          <w:lang w:val="en-US"/>
        </w:rPr>
        <w:t>3,682.56</w:t>
      </w:r>
      <w:r>
        <w:rPr>
          <w:rFonts w:hint="eastAsia" w:ascii="仿宋_GB2312" w:hAnsi="ˎ̥" w:eastAsia="仿宋_GB2312"/>
          <w:color w:val="auto"/>
          <w:sz w:val="32"/>
          <w:szCs w:val="32"/>
        </w:rPr>
        <w:t>万元，主要包括：工资福利支出中的基本工资、津贴补贴、奖金、机关事业单位基本养老保险缴费、职业年金缴费、职工基本医疗保险缴费、公务员医疗补助缴费、其他社会保障缴费、住房公积金、医疗费、其他工资福利支出；对个人和家庭的补助中生活补助、奖励金、其他对个人和家庭的补助。公用经费</w:t>
      </w:r>
      <w:r>
        <w:rPr>
          <w:rFonts w:ascii="仿宋_GB2312" w:hAnsi="ˎ̥" w:eastAsia="仿宋_GB2312"/>
          <w:color w:val="auto"/>
          <w:sz w:val="32"/>
          <w:szCs w:val="32"/>
          <w:lang w:val="en-US"/>
        </w:rPr>
        <w:t>962.26</w:t>
      </w:r>
      <w:r>
        <w:rPr>
          <w:rFonts w:hint="eastAsia" w:ascii="仿宋_GB2312" w:hAnsi="ˎ̥" w:eastAsia="仿宋_GB2312"/>
          <w:color w:val="auto"/>
          <w:sz w:val="32"/>
          <w:szCs w:val="32"/>
        </w:rPr>
        <w:t>万元，主要包括：商品和服务支出中的办公费、印刷费、咨询费、手续费、水费、电费、</w:t>
      </w:r>
      <w:r>
        <w:rPr>
          <w:rFonts w:hint="eastAsia" w:ascii="仿宋_GB2312" w:hAnsi="ˎ̥" w:eastAsia="仿宋_GB2312"/>
          <w:sz w:val="32"/>
          <w:szCs w:val="32"/>
        </w:rPr>
        <w:t>邮电费、物业管理费、差旅费、维修（护）费、租赁费、培训费、公务接待费、专用材料费、被装购置费、专用燃料费、劳务费、委托业务费、工会经费、公务用车运行维护费、其他交通费用、其他商品和服务支出</w:t>
      </w:r>
      <w:r>
        <w:rPr>
          <w:rFonts w:hint="eastAsia" w:ascii="仿宋_GB2312" w:hAnsi="ˎ̥" w:eastAsia="仿宋_GB2312"/>
          <w:sz w:val="32"/>
          <w:szCs w:val="32"/>
          <w:lang w:eastAsia="zh-CN"/>
        </w:rPr>
        <w:t>。</w:t>
      </w:r>
    </w:p>
    <w:p>
      <w:pPr>
        <w:keepNext w:val="0"/>
        <w:keepLines w:val="0"/>
        <w:pageBreakBefore w:val="0"/>
        <w:widowControl w:val="0"/>
        <w:tabs>
          <w:tab w:val="center" w:pos="4473"/>
        </w:tabs>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keepNext w:val="0"/>
        <w:keepLines w:val="0"/>
        <w:pageBreakBefore w:val="0"/>
        <w:tabs>
          <w:tab w:val="center" w:pos="4473"/>
        </w:tabs>
        <w:kinsoku/>
        <w:wordWrap/>
        <w:overflowPunct/>
        <w:topLinePunct w:val="0"/>
        <w:autoSpaceDE/>
        <w:autoSpaceDN/>
        <w:bidi w:val="0"/>
        <w:adjustRightInd/>
        <w:snapToGrid/>
        <w:spacing w:line="560" w:lineRule="exact"/>
        <w:ind w:firstLine="640"/>
        <w:textAlignment w:val="auto"/>
        <w:rPr>
          <w:rFonts w:hint="eastAsia" w:ascii="仿宋_GB2312" w:hAnsi="ˎ̥" w:eastAsia="仿宋_GB2312" w:cs="仿宋_GB2312"/>
          <w:sz w:val="32"/>
          <w:szCs w:val="32"/>
          <w:shd w:val="clear" w:color="auto" w:fill="FFFFFF"/>
        </w:rPr>
      </w:pPr>
      <w:r>
        <w:rPr>
          <w:rFonts w:hint="eastAsia" w:ascii="仿宋_GB2312" w:hAnsi="仿宋_GB2312" w:eastAsia="仿宋_GB2312" w:cs="仿宋_GB2312"/>
          <w:kern w:val="1"/>
          <w:sz w:val="32"/>
          <w:szCs w:val="32"/>
          <w:lang w:eastAsia="zh-CN"/>
        </w:rPr>
        <w:t>我院</w:t>
      </w:r>
      <w:r>
        <w:rPr>
          <w:rFonts w:ascii="仿宋_GB2312" w:hAnsi="仿宋_GB2312" w:eastAsia="仿宋_GB2312" w:cs="仿宋_GB2312"/>
          <w:kern w:val="1"/>
          <w:sz w:val="32"/>
          <w:szCs w:val="32"/>
        </w:rPr>
        <w:t>202</w:t>
      </w:r>
      <w:r>
        <w:rPr>
          <w:rFonts w:hint="eastAsia" w:ascii="仿宋_GB2312" w:hAnsi="仿宋_GB2312" w:eastAsia="仿宋_GB2312" w:cs="仿宋_GB2312"/>
          <w:kern w:val="1"/>
          <w:sz w:val="32"/>
          <w:szCs w:val="32"/>
          <w:lang w:val="en-US" w:eastAsia="zh-CN"/>
        </w:rPr>
        <w:t>4</w:t>
      </w:r>
      <w:r>
        <w:rPr>
          <w:rFonts w:ascii="仿宋_GB2312" w:hAnsi="仿宋_GB2312" w:eastAsia="仿宋_GB2312" w:cs="仿宋_GB2312"/>
          <w:kern w:val="1"/>
          <w:sz w:val="32"/>
          <w:szCs w:val="32"/>
        </w:rPr>
        <w:t>年度</w:t>
      </w:r>
      <w:r>
        <w:rPr>
          <w:rFonts w:hint="eastAsia" w:ascii="仿宋_GB2312" w:hAnsi="仿宋_GB2312" w:eastAsia="仿宋_GB2312" w:cs="仿宋_GB2312"/>
          <w:kern w:val="1"/>
          <w:sz w:val="32"/>
          <w:szCs w:val="32"/>
          <w:lang w:eastAsia="zh-CN"/>
        </w:rPr>
        <w:t>无</w:t>
      </w:r>
      <w:r>
        <w:rPr>
          <w:rFonts w:ascii="仿宋_GB2312" w:hAnsi="仿宋_GB2312" w:eastAsia="仿宋_GB2312" w:cs="仿宋_GB2312"/>
          <w:kern w:val="1"/>
          <w:sz w:val="32"/>
          <w:szCs w:val="32"/>
        </w:rPr>
        <w:t>政府性基金预算财政拨款收</w:t>
      </w:r>
      <w:r>
        <w:rPr>
          <w:rFonts w:hint="eastAsia" w:ascii="仿宋_GB2312" w:hAnsi="仿宋_GB2312" w:eastAsia="仿宋_GB2312" w:cs="仿宋_GB2312"/>
          <w:kern w:val="1"/>
          <w:sz w:val="32"/>
          <w:szCs w:val="32"/>
          <w:lang w:eastAsia="zh-CN"/>
        </w:rPr>
        <w:t>支余情</w:t>
      </w:r>
      <w:r>
        <w:rPr>
          <w:rFonts w:hint="eastAsia" w:ascii="仿宋_GB2312" w:hAnsi="ˎ̥" w:eastAsia="仿宋_GB2312" w:cs="仿宋_GB2312"/>
          <w:sz w:val="32"/>
          <w:szCs w:val="32"/>
          <w:shd w:val="clear" w:color="auto" w:fill="FFFFFF"/>
          <w:lang w:eastAsia="zh-CN"/>
        </w:rPr>
        <w:t>况</w:t>
      </w:r>
      <w:r>
        <w:rPr>
          <w:rFonts w:hint="eastAsia" w:ascii="仿宋_GB2312" w:hAnsi="ˎ̥" w:eastAsia="仿宋_GB2312" w:cs="仿宋_GB2312"/>
          <w:sz w:val="32"/>
          <w:szCs w:val="32"/>
          <w:shd w:val="clear" w:color="auto" w:fill="FFFFFF"/>
        </w:rPr>
        <w:t>。</w:t>
      </w:r>
    </w:p>
    <w:p>
      <w:pPr>
        <w:keepNext w:val="0"/>
        <w:keepLines w:val="0"/>
        <w:pageBreakBefore w:val="0"/>
        <w:widowControl w:val="0"/>
        <w:tabs>
          <w:tab w:val="center" w:pos="4473"/>
        </w:tabs>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keepNext w:val="0"/>
        <w:keepLines w:val="0"/>
        <w:pageBreakBefore w:val="0"/>
        <w:tabs>
          <w:tab w:val="center" w:pos="4473"/>
        </w:tabs>
        <w:kinsoku/>
        <w:wordWrap/>
        <w:overflowPunct/>
        <w:topLinePunct w:val="0"/>
        <w:autoSpaceDE/>
        <w:autoSpaceDN/>
        <w:bidi w:val="0"/>
        <w:adjustRightInd/>
        <w:snapToGrid/>
        <w:spacing w:line="560" w:lineRule="exact"/>
        <w:ind w:firstLine="640"/>
        <w:textAlignment w:val="auto"/>
        <w:rPr>
          <w:rFonts w:hint="eastAsia" w:ascii="仿宋_GB2312" w:hAnsi="ˎ̥" w:eastAsia="仿宋_GB2312" w:cs="仿宋_GB2312"/>
          <w:sz w:val="32"/>
          <w:szCs w:val="32"/>
          <w:shd w:val="clear" w:color="auto" w:fill="FFFFFF"/>
          <w:lang w:eastAsia="zh-CN"/>
        </w:rPr>
      </w:pPr>
      <w:r>
        <w:rPr>
          <w:rFonts w:hint="eastAsia" w:ascii="仿宋_GB2312" w:hAnsi="ˎ̥" w:eastAsia="仿宋_GB2312" w:cs="仿宋_GB2312"/>
          <w:sz w:val="32"/>
          <w:szCs w:val="32"/>
          <w:shd w:val="clear" w:color="auto" w:fill="FFFFFF"/>
          <w:lang w:eastAsia="zh-CN"/>
        </w:rPr>
        <w:t>我院</w:t>
      </w:r>
      <w:r>
        <w:rPr>
          <w:rFonts w:hint="eastAsia" w:ascii="仿宋_GB2312" w:hAnsi="ˎ̥" w:eastAsia="仿宋_GB2312" w:cs="仿宋_GB2312"/>
          <w:sz w:val="32"/>
          <w:szCs w:val="32"/>
          <w:shd w:val="clear" w:color="auto" w:fill="FFFFFF"/>
        </w:rPr>
        <w:t>202</w:t>
      </w:r>
      <w:r>
        <w:rPr>
          <w:rFonts w:hint="eastAsia" w:ascii="仿宋_GB2312" w:hAnsi="ˎ̥" w:eastAsia="仿宋_GB2312" w:cs="仿宋_GB2312"/>
          <w:sz w:val="32"/>
          <w:szCs w:val="32"/>
          <w:shd w:val="clear" w:color="auto" w:fill="FFFFFF"/>
          <w:lang w:val="en-US" w:eastAsia="zh-CN"/>
        </w:rPr>
        <w:t>4</w:t>
      </w:r>
      <w:r>
        <w:rPr>
          <w:rFonts w:hint="eastAsia" w:ascii="仿宋_GB2312" w:hAnsi="ˎ̥" w:eastAsia="仿宋_GB2312" w:cs="仿宋_GB2312"/>
          <w:sz w:val="32"/>
          <w:szCs w:val="32"/>
          <w:shd w:val="clear" w:color="auto" w:fill="FFFFFF"/>
        </w:rPr>
        <w:t>年度</w:t>
      </w:r>
      <w:r>
        <w:rPr>
          <w:rFonts w:hint="eastAsia" w:ascii="仿宋_GB2312" w:hAnsi="ˎ̥" w:eastAsia="仿宋_GB2312" w:cs="仿宋_GB2312"/>
          <w:sz w:val="32"/>
          <w:szCs w:val="32"/>
          <w:shd w:val="clear" w:color="auto" w:fill="FFFFFF"/>
          <w:lang w:eastAsia="zh-CN"/>
        </w:rPr>
        <w:t>无</w:t>
      </w:r>
      <w:r>
        <w:rPr>
          <w:rFonts w:hint="eastAsia" w:ascii="仿宋_GB2312" w:hAnsi="ˎ̥" w:eastAsia="仿宋_GB2312" w:cs="仿宋_GB2312"/>
          <w:sz w:val="32"/>
          <w:szCs w:val="32"/>
          <w:shd w:val="clear" w:color="auto" w:fill="FFFFFF"/>
        </w:rPr>
        <w:t>国有资本经营预算财政拨款收</w:t>
      </w:r>
      <w:r>
        <w:rPr>
          <w:rFonts w:hint="eastAsia" w:ascii="仿宋_GB2312" w:hAnsi="ˎ̥" w:eastAsia="仿宋_GB2312" w:cs="仿宋_GB2312"/>
          <w:sz w:val="32"/>
          <w:szCs w:val="32"/>
          <w:shd w:val="clear" w:color="auto" w:fill="FFFFFF"/>
          <w:lang w:eastAsia="zh-CN"/>
        </w:rPr>
        <w:t>支余情况。</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eastAsia" w:ascii="仿宋_GB2312" w:hAnsi="ˎ̥" w:eastAsia="楷体_GB2312"/>
          <w:sz w:val="32"/>
          <w:szCs w:val="32"/>
        </w:rPr>
      </w:pPr>
      <w:r>
        <w:rPr>
          <w:rFonts w:hint="eastAsia" w:ascii="黑体" w:hAnsi="黑体" w:eastAsia="黑体" w:cs="黑体"/>
          <w:bCs/>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 xml:space="preserve">    </w:t>
      </w: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年度财政拨款“三公”经费支出预算为</w:t>
      </w:r>
      <w:r>
        <w:rPr>
          <w:rFonts w:hint="default" w:ascii="仿宋_GB2312" w:hAnsi="ˎ̥" w:eastAsia="仿宋_GB2312"/>
          <w:color w:val="auto"/>
          <w:sz w:val="32"/>
          <w:szCs w:val="32"/>
          <w:lang w:val="en-US"/>
        </w:rPr>
        <w:t>86.84</w:t>
      </w:r>
      <w:r>
        <w:rPr>
          <w:rFonts w:hint="eastAsia" w:ascii="仿宋_GB2312" w:hAnsi="ˎ̥" w:eastAsia="仿宋_GB2312"/>
          <w:color w:val="auto"/>
          <w:sz w:val="32"/>
          <w:szCs w:val="32"/>
        </w:rPr>
        <w:t>万元，支出决算为</w:t>
      </w:r>
      <w:r>
        <w:rPr>
          <w:rFonts w:hint="default" w:ascii="仿宋_GB2312" w:hAnsi="ˎ̥" w:eastAsia="仿宋_GB2312"/>
          <w:color w:val="auto"/>
          <w:sz w:val="32"/>
          <w:szCs w:val="32"/>
          <w:lang w:val="en-US"/>
        </w:rPr>
        <w:t>68.99</w:t>
      </w:r>
      <w:r>
        <w:rPr>
          <w:rFonts w:hint="eastAsia" w:ascii="仿宋_GB2312" w:hAnsi="ˎ̥" w:eastAsia="仿宋_GB2312"/>
          <w:color w:val="auto"/>
          <w:sz w:val="32"/>
          <w:szCs w:val="32"/>
        </w:rPr>
        <w:t>万元，完成预算的</w:t>
      </w:r>
      <w:r>
        <w:rPr>
          <w:rFonts w:hint="eastAsia" w:ascii="仿宋_GB2312" w:hAnsi="ˎ̥" w:eastAsia="仿宋_GB2312"/>
          <w:color w:val="auto"/>
          <w:sz w:val="32"/>
          <w:szCs w:val="32"/>
          <w:lang w:val="en-US" w:eastAsia="zh-CN"/>
        </w:rPr>
        <w:t>79.44</w:t>
      </w:r>
      <w:r>
        <w:rPr>
          <w:rFonts w:hint="eastAsia" w:ascii="仿宋_GB2312" w:hAnsi="ˎ̥" w:eastAsia="仿宋_GB2312"/>
          <w:color w:val="auto"/>
          <w:sz w:val="32"/>
          <w:szCs w:val="32"/>
        </w:rPr>
        <w:t>%，</w:t>
      </w:r>
      <w:r>
        <w:rPr>
          <w:rFonts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color w:val="auto"/>
          <w:sz w:val="32"/>
          <w:szCs w:val="32"/>
        </w:rPr>
        <w:t>“三公”经费支出减少</w:t>
      </w:r>
      <w:r>
        <w:rPr>
          <w:rFonts w:hint="eastAsia" w:ascii="仿宋_GB2312" w:hAnsi="ˎ̥" w:eastAsia="仿宋_GB2312"/>
          <w:color w:val="auto"/>
          <w:sz w:val="32"/>
          <w:szCs w:val="32"/>
          <w:lang w:val="en-US" w:eastAsia="zh-CN"/>
        </w:rPr>
        <w:t>9.72</w:t>
      </w:r>
      <w:r>
        <w:rPr>
          <w:rFonts w:hint="eastAsia" w:ascii="仿宋_GB2312" w:hAnsi="ˎ̥" w:eastAsia="仿宋_GB2312"/>
          <w:color w:val="auto"/>
          <w:sz w:val="32"/>
          <w:szCs w:val="32"/>
        </w:rPr>
        <w:t>万元</w:t>
      </w:r>
      <w:r>
        <w:rPr>
          <w:rFonts w:ascii="仿宋_GB2312" w:hAnsi="ˎ̥" w:eastAsia="仿宋_GB2312"/>
          <w:color w:val="auto"/>
          <w:sz w:val="32"/>
          <w:szCs w:val="32"/>
        </w:rPr>
        <w:t>，</w:t>
      </w:r>
      <w:r>
        <w:rPr>
          <w:rFonts w:hint="eastAsia" w:ascii="仿宋_GB2312" w:hAnsi="ˎ̥" w:eastAsia="仿宋_GB2312"/>
          <w:color w:val="auto"/>
          <w:sz w:val="32"/>
          <w:szCs w:val="32"/>
        </w:rPr>
        <w:t>下降</w:t>
      </w:r>
      <w:r>
        <w:rPr>
          <w:rFonts w:hint="eastAsia" w:ascii="仿宋_GB2312" w:hAnsi="ˎ̥" w:eastAsia="仿宋_GB2312"/>
          <w:color w:val="auto"/>
          <w:sz w:val="32"/>
          <w:szCs w:val="32"/>
          <w:lang w:val="en-US" w:eastAsia="zh-CN"/>
        </w:rPr>
        <w:t>12.35</w:t>
      </w:r>
      <w:r>
        <w:rPr>
          <w:rFonts w:hint="eastAsia" w:ascii="仿宋_GB2312" w:hAnsi="ˎ̥" w:eastAsia="仿宋_GB2312"/>
          <w:color w:val="auto"/>
          <w:sz w:val="32"/>
          <w:szCs w:val="32"/>
        </w:rPr>
        <w:t>%，</w:t>
      </w:r>
      <w:r>
        <w:rPr>
          <w:rFonts w:ascii="仿宋_GB2312" w:hAnsi="ˎ̥" w:eastAsia="仿宋_GB2312"/>
          <w:color w:val="auto"/>
          <w:sz w:val="32"/>
          <w:szCs w:val="32"/>
        </w:rPr>
        <w:t>主要原因</w:t>
      </w:r>
      <w:r>
        <w:rPr>
          <w:rFonts w:hint="eastAsia" w:ascii="仿宋_GB2312" w:hAnsi="ˎ̥" w:eastAsia="仿宋_GB2312"/>
          <w:color w:val="auto"/>
          <w:sz w:val="32"/>
          <w:szCs w:val="32"/>
          <w:lang w:eastAsia="zh-CN"/>
        </w:rPr>
        <w:t>：</w:t>
      </w:r>
      <w:r>
        <w:rPr>
          <w:rFonts w:hint="eastAsia" w:ascii="仿宋_GB2312" w:hAnsi="仿宋" w:eastAsia="仿宋_GB2312"/>
          <w:color w:val="auto"/>
          <w:sz w:val="32"/>
          <w:szCs w:val="32"/>
          <w:lang w:eastAsia="zh-CN"/>
        </w:rPr>
        <w:t>一是</w:t>
      </w:r>
      <w:r>
        <w:rPr>
          <w:rFonts w:hint="eastAsia" w:ascii="仿宋_GB2312" w:hAnsi="仿宋" w:eastAsia="仿宋_GB2312"/>
          <w:color w:val="auto"/>
          <w:sz w:val="32"/>
          <w:szCs w:val="32"/>
          <w:lang w:val="en-US" w:eastAsia="zh-CN"/>
        </w:rPr>
        <w:t>本年度购置1辆新能源公车费用比上年度购置1辆特种专业技术用车费用减少9.3万；二是本年未产生</w:t>
      </w:r>
      <w:r>
        <w:rPr>
          <w:rFonts w:hint="eastAsia" w:eastAsia="仿宋_GB2312"/>
          <w:color w:val="auto"/>
          <w:sz w:val="32"/>
          <w:shd w:val="clear" w:color="auto" w:fill="FFFFFF"/>
          <w:lang w:eastAsia="zh-CN"/>
        </w:rPr>
        <w:t>因公出国（境）费，比上年减少</w:t>
      </w:r>
      <w:r>
        <w:rPr>
          <w:rFonts w:hint="eastAsia" w:ascii="仿宋_GB2312" w:hAnsi="仿宋_GB2312" w:eastAsia="仿宋_GB2312" w:cs="仿宋_GB2312"/>
          <w:color w:val="auto"/>
          <w:sz w:val="32"/>
          <w:shd w:val="clear" w:color="auto" w:fill="FFFFFF"/>
          <w:lang w:val="en-US" w:eastAsia="zh-CN"/>
        </w:rPr>
        <w:t>2.27万元</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color w:val="auto"/>
          <w:sz w:val="32"/>
          <w:szCs w:val="32"/>
        </w:rPr>
      </w:pPr>
      <w:r>
        <w:rPr>
          <w:rFonts w:hint="eastAsia" w:ascii="楷体" w:hAnsi="楷体" w:eastAsia="楷体" w:cs="楷体"/>
          <w:b/>
          <w:bCs/>
          <w:color w:val="auto"/>
          <w:sz w:val="32"/>
          <w:szCs w:val="32"/>
        </w:rPr>
        <w:t xml:space="preserve">   </w:t>
      </w:r>
      <w:r>
        <w:rPr>
          <w:rFonts w:hint="eastAsia" w:ascii="楷体" w:hAnsi="楷体" w:eastAsia="楷体" w:cs="楷体"/>
          <w:color w:val="auto"/>
          <w:sz w:val="32"/>
          <w:szCs w:val="32"/>
        </w:rPr>
        <w:t xml:space="preserve"> （二）财政拨款“三公”经费支出决算具体情况说明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年度财政拨款“三公”经费支出决算中，因公出国（境）费支出决算</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%；公务用车购置及运行维护费支出决算</w:t>
      </w:r>
      <w:r>
        <w:rPr>
          <w:rFonts w:hint="default" w:ascii="仿宋_GB2312" w:hAnsi="ˎ̥" w:eastAsia="仿宋_GB2312"/>
          <w:color w:val="auto"/>
          <w:sz w:val="32"/>
          <w:szCs w:val="32"/>
          <w:lang w:val="en-US"/>
        </w:rPr>
        <w:t>61.81</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89.59</w:t>
      </w:r>
      <w:r>
        <w:rPr>
          <w:rFonts w:hint="eastAsia" w:ascii="仿宋_GB2312" w:hAnsi="ˎ̥" w:eastAsia="仿宋_GB2312"/>
          <w:color w:val="auto"/>
          <w:sz w:val="32"/>
          <w:szCs w:val="32"/>
        </w:rPr>
        <w:t>%；公务接待费支出决算</w:t>
      </w:r>
      <w:r>
        <w:rPr>
          <w:rFonts w:hint="default" w:ascii="仿宋_GB2312" w:hAnsi="ˎ̥" w:eastAsia="仿宋_GB2312"/>
          <w:color w:val="auto"/>
          <w:sz w:val="32"/>
          <w:szCs w:val="32"/>
          <w:lang w:val="en-US"/>
        </w:rPr>
        <w:t>7.18</w:t>
      </w:r>
      <w:r>
        <w:rPr>
          <w:rFonts w:hint="eastAsia" w:ascii="仿宋_GB2312" w:hAnsi="ˎ̥" w:eastAsia="仿宋_GB2312"/>
          <w:color w:val="auto"/>
          <w:sz w:val="32"/>
          <w:szCs w:val="32"/>
        </w:rPr>
        <w:t>万元，占</w:t>
      </w:r>
      <w:r>
        <w:rPr>
          <w:rFonts w:hint="eastAsia" w:ascii="仿宋_GB2312" w:hAnsi="ˎ̥" w:eastAsia="仿宋_GB2312"/>
          <w:color w:val="auto"/>
          <w:sz w:val="32"/>
          <w:szCs w:val="32"/>
          <w:lang w:val="en-US" w:eastAsia="zh-CN"/>
        </w:rPr>
        <w:t>10.41</w:t>
      </w:r>
      <w:r>
        <w:rPr>
          <w:rFonts w:hint="eastAsia" w:ascii="仿宋_GB2312" w:hAnsi="ˎ̥" w:eastAsia="仿宋_GB2312"/>
          <w:color w:val="auto"/>
          <w:sz w:val="32"/>
          <w:szCs w:val="32"/>
        </w:rPr>
        <w:t>%。具体情况如下：</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1.因公出国（境）费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0.00</w:t>
      </w:r>
      <w:r>
        <w:rPr>
          <w:rFonts w:hint="eastAsia" w:ascii="仿宋_GB2312" w:hAnsi="ˎ̥" w:eastAsia="仿宋_GB2312"/>
          <w:color w:val="auto"/>
          <w:sz w:val="32"/>
          <w:szCs w:val="32"/>
        </w:rPr>
        <w:t>万元。全年安排因公出国（境）团组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个，因公出国（境）</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color w:val="auto"/>
          <w:sz w:val="32"/>
          <w:szCs w:val="32"/>
        </w:rPr>
        <w:t>因公出国（境）费支出决算</w:t>
      </w:r>
      <w:r>
        <w:rPr>
          <w:rFonts w:hint="eastAsia" w:ascii="仿宋_GB2312" w:hAnsi="ˎ̥" w:eastAsia="仿宋_GB2312"/>
          <w:color w:val="auto"/>
          <w:sz w:val="32"/>
          <w:szCs w:val="32"/>
          <w:lang w:val="en-US" w:eastAsia="zh-CN"/>
        </w:rPr>
        <w:t>数</w:t>
      </w:r>
      <w:r>
        <w:rPr>
          <w:rFonts w:hint="eastAsia" w:ascii="仿宋_GB2312" w:hAnsi="ˎ̥" w:eastAsia="仿宋_GB2312"/>
          <w:color w:val="auto"/>
          <w:sz w:val="32"/>
          <w:szCs w:val="32"/>
          <w:lang w:eastAsia="zh-CN"/>
        </w:rPr>
        <w:t>与</w:t>
      </w:r>
      <w:r>
        <w:rPr>
          <w:rFonts w:hint="eastAsia" w:ascii="仿宋_GB2312" w:hAnsi="ˎ̥" w:eastAsia="仿宋_GB2312"/>
          <w:color w:val="auto"/>
          <w:sz w:val="32"/>
          <w:szCs w:val="32"/>
        </w:rPr>
        <w:t>预算数</w:t>
      </w:r>
      <w:r>
        <w:rPr>
          <w:rFonts w:hint="eastAsia" w:ascii="仿宋_GB2312" w:hAnsi="ˎ̥" w:eastAsia="仿宋_GB2312"/>
          <w:color w:val="auto"/>
          <w:sz w:val="32"/>
          <w:szCs w:val="32"/>
          <w:lang w:eastAsia="zh-CN"/>
        </w:rPr>
        <w:t>一致，均为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color w:val="auto"/>
          <w:sz w:val="32"/>
          <w:szCs w:val="32"/>
        </w:rPr>
        <w:t>因公出国（境）费支出减少</w:t>
      </w:r>
      <w:r>
        <w:rPr>
          <w:rFonts w:hint="eastAsia" w:ascii="仿宋_GB2312" w:hAnsi="ˎ̥" w:eastAsia="仿宋_GB2312"/>
          <w:color w:val="auto"/>
          <w:sz w:val="32"/>
          <w:szCs w:val="32"/>
          <w:lang w:val="en-US" w:eastAsia="zh-CN"/>
        </w:rPr>
        <w:t>2.27</w:t>
      </w:r>
      <w:r>
        <w:rPr>
          <w:rFonts w:hint="eastAsia" w:ascii="仿宋_GB2312" w:hAnsi="ˎ̥" w:eastAsia="仿宋_GB2312"/>
          <w:color w:val="auto"/>
          <w:sz w:val="32"/>
          <w:szCs w:val="32"/>
        </w:rPr>
        <w:t>万元</w:t>
      </w:r>
      <w:r>
        <w:rPr>
          <w:rFonts w:ascii="仿宋_GB2312" w:hAnsi="ˎ̥" w:eastAsia="仿宋_GB2312"/>
          <w:color w:val="auto"/>
          <w:sz w:val="32"/>
          <w:szCs w:val="32"/>
        </w:rPr>
        <w:t>，</w:t>
      </w:r>
      <w:r>
        <w:rPr>
          <w:rFonts w:hint="eastAsia" w:ascii="仿宋_GB2312" w:hAnsi="ˎ̥" w:eastAsia="仿宋_GB2312"/>
          <w:color w:val="auto"/>
          <w:sz w:val="32"/>
          <w:szCs w:val="32"/>
        </w:rPr>
        <w:t>主要原因是</w:t>
      </w:r>
      <w:r>
        <w:rPr>
          <w:rFonts w:hint="eastAsia" w:ascii="仿宋_GB2312" w:hAnsi="仿宋" w:eastAsia="仿宋_GB2312"/>
          <w:color w:val="auto"/>
          <w:sz w:val="32"/>
          <w:szCs w:val="32"/>
          <w:lang w:val="en-US" w:eastAsia="zh-CN"/>
        </w:rPr>
        <w:t>2024年度未安排人员出国出境，未产生</w:t>
      </w:r>
      <w:r>
        <w:rPr>
          <w:rFonts w:hint="eastAsia" w:eastAsia="仿宋_GB2312"/>
          <w:color w:val="auto"/>
          <w:sz w:val="32"/>
          <w:shd w:val="clear" w:color="auto" w:fill="FFFFFF"/>
          <w:lang w:eastAsia="zh-CN"/>
        </w:rPr>
        <w:t>因公出国（境）费</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ˎ̥" w:eastAsia="仿宋_GB2312"/>
          <w:color w:val="auto"/>
          <w:sz w:val="32"/>
          <w:szCs w:val="32"/>
        </w:rPr>
      </w:pPr>
      <w:r>
        <w:rPr>
          <w:rFonts w:hint="eastAsia" w:ascii="仿宋_GB2312" w:hAnsi="ˎ̥" w:eastAsia="仿宋_GB2312"/>
          <w:b/>
          <w:sz w:val="32"/>
          <w:szCs w:val="32"/>
        </w:rPr>
        <w:t xml:space="preserve">   </w:t>
      </w:r>
      <w:r>
        <w:rPr>
          <w:rFonts w:hint="eastAsia" w:ascii="仿宋_GB2312" w:hAnsi="ˎ̥" w:eastAsia="仿宋_GB2312"/>
          <w:b/>
          <w:color w:val="auto"/>
          <w:sz w:val="32"/>
          <w:szCs w:val="32"/>
        </w:rPr>
        <w:t xml:space="preserve"> 2.公务用车购置及运行维护费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61.81</w:t>
      </w:r>
      <w:r>
        <w:rPr>
          <w:rFonts w:hint="eastAsia" w:ascii="仿宋_GB2312" w:hAnsi="ˎ̥" w:eastAsia="仿宋_GB2312"/>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公务用车购置</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17.98</w:t>
      </w:r>
      <w:r>
        <w:rPr>
          <w:rFonts w:hint="eastAsia" w:ascii="仿宋_GB2312" w:hAnsi="ˎ̥" w:eastAsia="仿宋_GB2312"/>
          <w:color w:val="auto"/>
          <w:sz w:val="32"/>
          <w:szCs w:val="32"/>
        </w:rPr>
        <w:t>万元，全年购置公务用车</w:t>
      </w:r>
      <w:r>
        <w:rPr>
          <w:rFonts w:hint="eastAsia" w:ascii="仿宋_GB2312" w:hAnsi="ˎ̥" w:eastAsia="仿宋_GB2312"/>
          <w:color w:val="auto"/>
          <w:sz w:val="32"/>
          <w:szCs w:val="32"/>
          <w:lang w:val="en-US" w:eastAsia="zh-CN"/>
        </w:rPr>
        <w:t>1</w:t>
      </w:r>
      <w:r>
        <w:rPr>
          <w:rFonts w:hint="eastAsia" w:ascii="仿宋_GB2312" w:hAnsi="ˎ̥" w:eastAsia="仿宋_GB2312"/>
          <w:color w:val="auto"/>
          <w:sz w:val="32"/>
          <w:szCs w:val="32"/>
        </w:rPr>
        <w:t>辆，主要用于</w:t>
      </w:r>
      <w:r>
        <w:rPr>
          <w:rFonts w:hint="eastAsia" w:ascii="仿宋_GB2312" w:hAnsi="ˎ̥" w:eastAsia="仿宋_GB2312"/>
          <w:color w:val="auto"/>
          <w:sz w:val="32"/>
          <w:szCs w:val="32"/>
          <w:lang w:eastAsia="zh-CN"/>
        </w:rPr>
        <w:t>机要通信及公务出行使用</w:t>
      </w:r>
      <w:r>
        <w:rPr>
          <w:rFonts w:hint="eastAsia" w:ascii="仿宋_GB2312" w:hAnsi="ˎ̥" w:eastAsia="仿宋_GB2312"/>
          <w:color w:val="auto"/>
          <w:sz w:val="32"/>
          <w:szCs w:val="32"/>
        </w:rPr>
        <w:t>，年末公务用车保有量</w:t>
      </w:r>
      <w:r>
        <w:rPr>
          <w:rFonts w:hint="eastAsia" w:ascii="仿宋_GB2312" w:hAnsi="ˎ̥" w:eastAsia="仿宋_GB2312"/>
          <w:color w:val="auto"/>
          <w:sz w:val="32"/>
          <w:szCs w:val="32"/>
          <w:lang w:val="en-US" w:eastAsia="zh-CN"/>
        </w:rPr>
        <w:t>17</w:t>
      </w:r>
      <w:r>
        <w:rPr>
          <w:rFonts w:hint="eastAsia" w:ascii="仿宋_GB2312" w:hAnsi="ˎ̥" w:eastAsia="仿宋_GB2312"/>
          <w:color w:val="auto"/>
          <w:sz w:val="32"/>
          <w:szCs w:val="32"/>
        </w:rPr>
        <w:t>辆。</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公务用车运行维护费</w:t>
      </w:r>
      <w:r>
        <w:rPr>
          <w:rFonts w:hint="eastAsia" w:ascii="仿宋_GB2312" w:hAnsi="ˎ̥" w:eastAsia="仿宋_GB2312"/>
          <w:color w:val="auto"/>
          <w:sz w:val="32"/>
          <w:szCs w:val="32"/>
        </w:rPr>
        <w:t>支出</w:t>
      </w:r>
      <w:r>
        <w:rPr>
          <w:rFonts w:hint="default" w:ascii="仿宋_GB2312" w:hAnsi="ˎ̥" w:eastAsia="仿宋_GB2312"/>
          <w:color w:val="auto"/>
          <w:sz w:val="32"/>
          <w:szCs w:val="32"/>
          <w:lang w:val="en-US"/>
        </w:rPr>
        <w:t>43.83</w:t>
      </w:r>
      <w:r>
        <w:rPr>
          <w:rFonts w:hint="eastAsia" w:ascii="仿宋_GB2312" w:hAnsi="ˎ̥" w:eastAsia="仿宋_GB2312"/>
          <w:color w:val="auto"/>
          <w:sz w:val="32"/>
          <w:szCs w:val="32"/>
        </w:rPr>
        <w:t>万元，主要用于</w:t>
      </w:r>
      <w:r>
        <w:rPr>
          <w:rFonts w:hint="eastAsia" w:ascii="仿宋_GB2312" w:hAnsi="仿宋_GB2312" w:eastAsia="仿宋_GB2312" w:cs="仿宋_GB2312"/>
          <w:color w:val="auto"/>
          <w:kern w:val="1"/>
          <w:sz w:val="32"/>
          <w:szCs w:val="32"/>
          <w:shd w:val="clear" w:color="auto" w:fill="FFFFFF"/>
          <w:lang w:val="en-US" w:eastAsia="zh-CN"/>
        </w:rPr>
        <w:t>因公出行的日常车辆燃油费、过路、保养、保险及维护开支</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bCs/>
          <w:color w:val="auto"/>
          <w:sz w:val="32"/>
          <w:szCs w:val="32"/>
        </w:rPr>
      </w:pPr>
      <w:r>
        <w:rPr>
          <w:rFonts w:hint="eastAsia" w:ascii="仿宋_GB2312" w:hAnsi="ˎ̥" w:eastAsia="仿宋_GB2312"/>
          <w:bCs/>
          <w:color w:val="auto"/>
          <w:sz w:val="32"/>
          <w:szCs w:val="32"/>
        </w:rPr>
        <w:t>公务用车购置及运行维护费支出决算数</w:t>
      </w:r>
      <w:r>
        <w:rPr>
          <w:rFonts w:hint="eastAsia" w:ascii="仿宋_GB2312" w:hAnsi="ˎ̥" w:eastAsia="仿宋_GB2312"/>
          <w:color w:val="auto"/>
          <w:sz w:val="32"/>
          <w:szCs w:val="32"/>
        </w:rPr>
        <w:t>比预算数减少</w:t>
      </w:r>
      <w:r>
        <w:rPr>
          <w:rFonts w:hint="eastAsia" w:ascii="仿宋_GB2312" w:hAnsi="ˎ̥" w:eastAsia="仿宋_GB2312"/>
          <w:color w:val="auto"/>
          <w:sz w:val="32"/>
          <w:szCs w:val="32"/>
          <w:lang w:val="en-US" w:eastAsia="zh-CN"/>
        </w:rPr>
        <w:t>0.03</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完成预算的99.99</w:t>
      </w:r>
      <w:r>
        <w:rPr>
          <w:rFonts w:hint="eastAsia" w:ascii="仿宋_GB2312" w:hAnsi="ˎ̥" w:eastAsia="仿宋_GB2312"/>
          <w:color w:val="auto"/>
          <w:sz w:val="32"/>
          <w:szCs w:val="32"/>
        </w:rPr>
        <w:t>%</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公务用车购置及运行维护费</w:t>
      </w:r>
      <w:r>
        <w:rPr>
          <w:rFonts w:hint="eastAsia" w:ascii="仿宋_GB2312" w:hAnsi="ˎ̥" w:eastAsia="仿宋_GB2312"/>
          <w:color w:val="auto"/>
          <w:sz w:val="32"/>
          <w:szCs w:val="32"/>
        </w:rPr>
        <w:t>支出减少</w:t>
      </w:r>
      <w:r>
        <w:rPr>
          <w:rFonts w:hint="eastAsia" w:ascii="仿宋_GB2312" w:hAnsi="ˎ̥" w:eastAsia="仿宋_GB2312"/>
          <w:color w:val="auto"/>
          <w:sz w:val="32"/>
          <w:szCs w:val="32"/>
          <w:lang w:val="en-US" w:eastAsia="zh-CN"/>
        </w:rPr>
        <w:t>8.98</w:t>
      </w:r>
      <w:r>
        <w:rPr>
          <w:rFonts w:hint="eastAsia" w:ascii="仿宋_GB2312" w:hAnsi="ˎ̥" w:eastAsia="仿宋_GB2312"/>
          <w:color w:val="auto"/>
          <w:sz w:val="32"/>
          <w:szCs w:val="32"/>
        </w:rPr>
        <w:t>万元</w:t>
      </w:r>
      <w:r>
        <w:rPr>
          <w:rFonts w:ascii="仿宋_GB2312" w:hAnsi="ˎ̥" w:eastAsia="仿宋_GB2312"/>
          <w:color w:val="auto"/>
          <w:sz w:val="32"/>
          <w:szCs w:val="32"/>
        </w:rPr>
        <w:t>，</w:t>
      </w:r>
      <w:r>
        <w:rPr>
          <w:rFonts w:hint="eastAsia" w:ascii="仿宋_GB2312" w:hAnsi="ˎ̥" w:eastAsia="仿宋_GB2312"/>
          <w:color w:val="auto"/>
          <w:sz w:val="32"/>
          <w:szCs w:val="32"/>
        </w:rPr>
        <w:t>下降</w:t>
      </w:r>
      <w:r>
        <w:rPr>
          <w:rFonts w:hint="eastAsia" w:ascii="仿宋_GB2312" w:hAnsi="ˎ̥" w:eastAsia="仿宋_GB2312"/>
          <w:color w:val="auto"/>
          <w:sz w:val="32"/>
          <w:szCs w:val="32"/>
          <w:lang w:val="en-US" w:eastAsia="zh-CN"/>
        </w:rPr>
        <w:t>12.69</w:t>
      </w:r>
      <w:r>
        <w:rPr>
          <w:rFonts w:hint="eastAsia" w:ascii="仿宋_GB2312" w:hAnsi="ˎ̥" w:eastAsia="仿宋_GB2312"/>
          <w:color w:val="auto"/>
          <w:sz w:val="32"/>
          <w:szCs w:val="32"/>
        </w:rPr>
        <w:t>%，主要原因是</w:t>
      </w:r>
      <w:r>
        <w:rPr>
          <w:rFonts w:hint="eastAsia" w:ascii="仿宋_GB2312" w:hAnsi="仿宋" w:eastAsia="仿宋_GB2312"/>
          <w:color w:val="auto"/>
          <w:sz w:val="32"/>
          <w:szCs w:val="32"/>
          <w:lang w:val="en-US" w:eastAsia="zh-CN"/>
        </w:rPr>
        <w:t>本年度购置1辆新能源公车费用比上年度购置1辆特种专业技术用车费用减少9.3万元。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 xml:space="preserve">    3.公务接待费</w:t>
      </w:r>
      <w:r>
        <w:rPr>
          <w:rFonts w:hint="eastAsia" w:ascii="仿宋_GB2312" w:hAnsi="ˎ̥" w:eastAsia="仿宋_GB2312"/>
          <w:b w:val="0"/>
          <w:bCs/>
          <w:color w:val="auto"/>
          <w:sz w:val="32"/>
          <w:szCs w:val="32"/>
        </w:rPr>
        <w:t>支出</w:t>
      </w:r>
      <w:r>
        <w:rPr>
          <w:rFonts w:hint="default" w:ascii="仿宋_GB2312" w:hAnsi="ˎ̥" w:eastAsia="仿宋_GB2312"/>
          <w:color w:val="auto"/>
          <w:sz w:val="32"/>
          <w:szCs w:val="32"/>
          <w:lang w:val="en-US"/>
        </w:rPr>
        <w:t>7.18</w:t>
      </w:r>
      <w:r>
        <w:rPr>
          <w:rFonts w:hint="eastAsia" w:ascii="仿宋_GB2312" w:hAnsi="ˎ̥" w:eastAsia="仿宋_GB2312"/>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ˎ̥" w:eastAsia="仿宋_GB2312"/>
          <w:color w:val="auto"/>
          <w:sz w:val="32"/>
          <w:szCs w:val="32"/>
        </w:rPr>
      </w:pPr>
      <w:r>
        <w:rPr>
          <w:rFonts w:hint="eastAsia" w:ascii="仿宋_GB2312" w:hAnsi="ˎ̥" w:eastAsia="仿宋_GB2312"/>
          <w:b/>
          <w:color w:val="auto"/>
          <w:sz w:val="32"/>
          <w:szCs w:val="32"/>
        </w:rPr>
        <w:t>国内接待费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7.18</w:t>
      </w:r>
      <w:r>
        <w:rPr>
          <w:rFonts w:hint="eastAsia" w:ascii="仿宋_GB2312" w:hAnsi="ˎ̥" w:eastAsia="仿宋_GB2312"/>
          <w:color w:val="auto"/>
          <w:sz w:val="32"/>
          <w:szCs w:val="32"/>
        </w:rPr>
        <w:t>万元，国内公务接待</w:t>
      </w:r>
      <w:r>
        <w:rPr>
          <w:rFonts w:hint="eastAsia" w:ascii="仿宋_GB2312" w:hAnsi="ˎ̥" w:eastAsia="仿宋_GB2312"/>
          <w:color w:val="auto"/>
          <w:sz w:val="32"/>
          <w:szCs w:val="32"/>
          <w:lang w:val="en-US" w:eastAsia="zh-CN"/>
        </w:rPr>
        <w:t>54</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560</w:t>
      </w:r>
      <w:r>
        <w:rPr>
          <w:rFonts w:hint="eastAsia" w:ascii="仿宋_GB2312" w:hAnsi="ˎ̥" w:eastAsia="仿宋_GB2312"/>
          <w:color w:val="auto"/>
          <w:sz w:val="32"/>
          <w:szCs w:val="32"/>
        </w:rPr>
        <w:t>人次；主要用于</w:t>
      </w:r>
      <w:r>
        <w:rPr>
          <w:rFonts w:ascii="仿宋_GB2312" w:hAnsi="仿宋_GB2312" w:eastAsia="仿宋_GB2312" w:cs="仿宋_GB2312"/>
          <w:color w:val="auto"/>
          <w:kern w:val="1"/>
          <w:sz w:val="32"/>
          <w:szCs w:val="32"/>
        </w:rPr>
        <w:t>上级法院调研、检查、办案以及其他法院考察学习、办案</w:t>
      </w:r>
      <w:r>
        <w:rPr>
          <w:rFonts w:hint="eastAsia" w:ascii="仿宋_GB2312" w:hAnsi="仿宋_GB2312" w:eastAsia="仿宋_GB2312" w:cs="仿宋_GB2312"/>
          <w:color w:val="auto"/>
          <w:kern w:val="1"/>
          <w:sz w:val="32"/>
          <w:szCs w:val="32"/>
          <w:lang w:eastAsia="zh-CN"/>
        </w:rPr>
        <w:t>座谈</w:t>
      </w:r>
      <w:r>
        <w:rPr>
          <w:rFonts w:ascii="仿宋_GB2312" w:hAnsi="仿宋_GB2312" w:eastAsia="仿宋_GB2312" w:cs="仿宋_GB2312"/>
          <w:color w:val="auto"/>
          <w:kern w:val="1"/>
          <w:sz w:val="32"/>
          <w:szCs w:val="32"/>
        </w:rPr>
        <w:t>等接待</w:t>
      </w:r>
      <w:r>
        <w:rPr>
          <w:rFonts w:hint="eastAsia" w:ascii="仿宋_GB2312" w:hAnsi="仿宋_GB2312" w:eastAsia="仿宋_GB2312" w:cs="仿宋_GB2312"/>
          <w:color w:val="auto"/>
          <w:kern w:val="1"/>
          <w:sz w:val="32"/>
          <w:szCs w:val="32"/>
          <w:lang w:eastAsia="zh-CN"/>
        </w:rPr>
        <w:t>开支</w:t>
      </w:r>
      <w:r>
        <w:rPr>
          <w:rFonts w:ascii="仿宋_GB2312" w:hAnsi="仿宋_GB2312" w:eastAsia="仿宋_GB2312" w:cs="仿宋_GB2312"/>
          <w:color w:val="auto"/>
          <w:kern w:val="1"/>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ˎ̥" w:eastAsia="仿宋_GB2312"/>
          <w:color w:val="auto"/>
          <w:sz w:val="32"/>
          <w:szCs w:val="32"/>
        </w:rPr>
      </w:pPr>
      <w:r>
        <w:rPr>
          <w:rFonts w:hint="eastAsia" w:ascii="仿宋_GB2312" w:hAnsi="ˎ̥" w:eastAsia="仿宋_GB2312"/>
          <w:b/>
          <w:bCs/>
          <w:color w:val="auto"/>
          <w:sz w:val="32"/>
          <w:szCs w:val="32"/>
        </w:rPr>
        <w:t>国（境）外接待费</w:t>
      </w:r>
      <w:r>
        <w:rPr>
          <w:rFonts w:hint="eastAsia" w:ascii="仿宋_GB2312" w:hAnsi="ˎ̥" w:eastAsia="仿宋_GB2312"/>
          <w:color w:val="auto"/>
          <w:sz w:val="32"/>
          <w:szCs w:val="32"/>
        </w:rPr>
        <w:t>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万元，国（境）外公务接待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批次，接待</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人次。</w:t>
      </w:r>
    </w:p>
    <w:p>
      <w:pPr>
        <w:keepNext w:val="0"/>
        <w:keepLines w:val="0"/>
        <w:pageBreakBefore w:val="0"/>
        <w:kinsoku/>
        <w:wordWrap/>
        <w:overflowPunct/>
        <w:topLinePunct w:val="0"/>
        <w:autoSpaceDN/>
        <w:bidi w:val="0"/>
        <w:adjustRightInd/>
        <w:snapToGrid/>
        <w:spacing w:line="560" w:lineRule="exact"/>
        <w:ind w:firstLine="709"/>
        <w:textAlignment w:val="auto"/>
        <w:rPr>
          <w:rFonts w:hint="eastAsia" w:ascii="仿宋_GB2312" w:hAnsi="仿宋" w:eastAsia="仿宋_GB2312" w:cs="仿宋"/>
          <w:color w:val="auto"/>
          <w:sz w:val="32"/>
          <w:szCs w:val="32"/>
          <w:lang w:eastAsia="zh-CN"/>
        </w:rPr>
      </w:pPr>
      <w:r>
        <w:rPr>
          <w:rFonts w:hint="eastAsia" w:ascii="仿宋_GB2312" w:hAnsi="ˎ̥" w:eastAsia="仿宋_GB2312"/>
          <w:color w:val="auto"/>
          <w:sz w:val="32"/>
          <w:szCs w:val="32"/>
        </w:rPr>
        <w:t>公务接待费支出决算数比预算数减少</w:t>
      </w:r>
      <w:r>
        <w:rPr>
          <w:rFonts w:hint="eastAsia" w:ascii="仿宋_GB2312" w:hAnsi="ˎ̥" w:eastAsia="仿宋_GB2312"/>
          <w:color w:val="auto"/>
          <w:sz w:val="32"/>
          <w:szCs w:val="32"/>
          <w:lang w:val="en-US" w:eastAsia="zh-CN"/>
        </w:rPr>
        <w:t>17.82</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完成预算的28.72</w:t>
      </w:r>
      <w:r>
        <w:rPr>
          <w:rFonts w:hint="eastAsia" w:ascii="仿宋_GB2312" w:hAnsi="ˎ̥" w:eastAsia="仿宋_GB2312"/>
          <w:color w:val="auto"/>
          <w:sz w:val="32"/>
          <w:szCs w:val="32"/>
        </w:rPr>
        <w:t>%。与</w:t>
      </w:r>
      <w:r>
        <w:rPr>
          <w:rFonts w:hint="default" w:ascii="仿宋_GB2312" w:hAnsi="ˎ̥" w:eastAsia="仿宋_GB2312"/>
          <w:color w:val="auto"/>
          <w:sz w:val="32"/>
          <w:szCs w:val="32"/>
          <w:lang w:val="en-US"/>
        </w:rPr>
        <w:t>2023</w:t>
      </w:r>
      <w:r>
        <w:rPr>
          <w:rFonts w:hint="eastAsia" w:ascii="仿宋_GB2312" w:hAnsi="ˎ̥" w:eastAsia="仿宋_GB2312"/>
          <w:color w:val="auto"/>
          <w:sz w:val="32"/>
          <w:szCs w:val="32"/>
        </w:rPr>
        <w:t>年度</w:t>
      </w:r>
      <w:r>
        <w:rPr>
          <w:rFonts w:ascii="仿宋_GB2312" w:hAnsi="ˎ̥" w:eastAsia="仿宋_GB2312"/>
          <w:color w:val="auto"/>
          <w:sz w:val="32"/>
          <w:szCs w:val="32"/>
        </w:rPr>
        <w:t>相比，</w:t>
      </w:r>
      <w:r>
        <w:rPr>
          <w:rFonts w:hint="eastAsia" w:ascii="仿宋_GB2312" w:hAnsi="ˎ̥" w:eastAsia="仿宋_GB2312"/>
          <w:bCs/>
          <w:color w:val="auto"/>
          <w:sz w:val="32"/>
          <w:szCs w:val="32"/>
        </w:rPr>
        <w:t>公务接待费</w:t>
      </w:r>
      <w:r>
        <w:rPr>
          <w:rFonts w:hint="eastAsia" w:ascii="仿宋_GB2312" w:hAnsi="ˎ̥" w:eastAsia="仿宋_GB2312"/>
          <w:color w:val="auto"/>
          <w:sz w:val="32"/>
          <w:szCs w:val="32"/>
        </w:rPr>
        <w:t>支出增加</w:t>
      </w:r>
      <w:r>
        <w:rPr>
          <w:rFonts w:hint="eastAsia" w:ascii="仿宋_GB2312" w:hAnsi="ˎ̥" w:eastAsia="仿宋_GB2312"/>
          <w:color w:val="auto"/>
          <w:sz w:val="32"/>
          <w:szCs w:val="32"/>
          <w:lang w:val="en-US" w:eastAsia="zh-CN"/>
        </w:rPr>
        <w:t>1.53</w:t>
      </w:r>
      <w:r>
        <w:rPr>
          <w:rFonts w:hint="eastAsia" w:ascii="仿宋_GB2312" w:hAnsi="ˎ̥" w:eastAsia="仿宋_GB2312"/>
          <w:color w:val="auto"/>
          <w:sz w:val="32"/>
          <w:szCs w:val="32"/>
        </w:rPr>
        <w:t>万元</w:t>
      </w:r>
      <w:r>
        <w:rPr>
          <w:rFonts w:ascii="仿宋_GB2312" w:hAnsi="ˎ̥" w:eastAsia="仿宋_GB2312"/>
          <w:color w:val="auto"/>
          <w:sz w:val="32"/>
          <w:szCs w:val="32"/>
        </w:rPr>
        <w:t>，增长</w:t>
      </w:r>
      <w:r>
        <w:rPr>
          <w:rFonts w:hint="eastAsia" w:ascii="仿宋_GB2312" w:hAnsi="ˎ̥" w:eastAsia="仿宋_GB2312"/>
          <w:color w:val="auto"/>
          <w:sz w:val="32"/>
          <w:szCs w:val="32"/>
          <w:lang w:val="en-US" w:eastAsia="zh-CN"/>
        </w:rPr>
        <w:t>27.15</w:t>
      </w:r>
      <w:r>
        <w:rPr>
          <w:rFonts w:hint="eastAsia" w:ascii="仿宋_GB2312" w:hAnsi="ˎ̥" w:eastAsia="仿宋_GB2312"/>
          <w:color w:val="auto"/>
          <w:sz w:val="32"/>
          <w:szCs w:val="32"/>
        </w:rPr>
        <w:t>%，主要原因是</w:t>
      </w:r>
      <w:r>
        <w:rPr>
          <w:rFonts w:hint="eastAsia" w:ascii="仿宋_GB2312" w:hAnsi="仿宋" w:eastAsia="仿宋_GB2312" w:cs="仿宋"/>
          <w:color w:val="auto"/>
          <w:sz w:val="32"/>
          <w:szCs w:val="32"/>
          <w:lang w:val="en-US" w:eastAsia="zh-CN"/>
        </w:rPr>
        <w:t>其他法院来我院调研、交流批次增多，</w:t>
      </w:r>
      <w:r>
        <w:rPr>
          <w:rFonts w:hint="eastAsia" w:ascii="仿宋_GB2312" w:hAnsi="仿宋" w:eastAsia="仿宋_GB2312" w:cs="仿宋"/>
          <w:color w:val="auto"/>
          <w:sz w:val="32"/>
          <w:szCs w:val="32"/>
          <w:lang w:eastAsia="zh-CN"/>
        </w:rPr>
        <w:t>公务接待人次增多，接待费用相应有所增长。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十、预算绩效情况说明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（一）绩效管理工作开展情况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根据预算管理要求，我部门组织对</w:t>
      </w:r>
      <w:r>
        <w:rPr>
          <w:rFonts w:hint="default" w:ascii="仿宋_GB2312" w:eastAsia="仿宋_GB2312"/>
          <w:sz w:val="32"/>
          <w:szCs w:val="32"/>
          <w:lang w:val="en-US"/>
        </w:rPr>
        <w:t>2024</w:t>
      </w:r>
      <w:r>
        <w:rPr>
          <w:rFonts w:hint="eastAsia" w:ascii="仿宋_GB2312" w:eastAsia="仿宋_GB2312"/>
          <w:sz w:val="32"/>
          <w:szCs w:val="32"/>
        </w:rPr>
        <w:t>年度一般公共预算项目支出全面开展绩效自评</w:t>
      </w:r>
      <w:r>
        <w:rPr>
          <w:rFonts w:hint="default" w:ascii="仿宋_GB2312" w:eastAsia="仿宋_GB2312"/>
          <w:sz w:val="32"/>
          <w:szCs w:val="32"/>
          <w:lang w:val="en-US"/>
        </w:rPr>
        <w:t>,</w:t>
      </w:r>
      <w:r>
        <w:rPr>
          <w:rFonts w:hint="eastAsia" w:ascii="仿宋_GB2312" w:eastAsia="仿宋_GB2312"/>
          <w:sz w:val="32"/>
          <w:szCs w:val="32"/>
          <w:lang w:val="en-US" w:eastAsia="zh-CN"/>
        </w:rPr>
        <w:t>共</w:t>
      </w:r>
      <w:r>
        <w:rPr>
          <w:rFonts w:hint="eastAsia" w:ascii="仿宋_GB2312" w:eastAsia="仿宋_GB2312"/>
          <w:color w:val="auto"/>
          <w:sz w:val="32"/>
          <w:szCs w:val="32"/>
          <w:lang w:val="en-US" w:eastAsia="zh-CN"/>
        </w:rPr>
        <w:t>涉及资金</w:t>
      </w:r>
      <w:r>
        <w:rPr>
          <w:rFonts w:hint="default" w:ascii="仿宋_GB2312" w:eastAsia="仿宋_GB2312"/>
          <w:color w:val="auto"/>
          <w:sz w:val="32"/>
          <w:szCs w:val="32"/>
          <w:lang w:val="en" w:eastAsia="zh-CN"/>
        </w:rPr>
        <w:t>4</w:t>
      </w:r>
      <w:r>
        <w:rPr>
          <w:rFonts w:hint="eastAsia" w:ascii="仿宋_GB2312" w:eastAsia="仿宋_GB2312"/>
          <w:color w:val="auto"/>
          <w:sz w:val="32"/>
          <w:szCs w:val="32"/>
          <w:lang w:val="en-US" w:eastAsia="zh-CN"/>
        </w:rPr>
        <w:t>298.09万元，占一般公共预算项目支出总额的100%</w:t>
      </w:r>
      <w:r>
        <w:rPr>
          <w:rFonts w:hint="eastAsia" w:ascii="仿宋_GB2312" w:eastAsia="仿宋_GB2312"/>
          <w:color w:val="auto"/>
          <w:sz w:val="32"/>
          <w:szCs w:val="32"/>
        </w:rPr>
        <w:t>。</w:t>
      </w:r>
      <w:r>
        <w:rPr>
          <w:rFonts w:hint="default" w:ascii="仿宋_GB2312" w:eastAsia="仿宋_GB2312"/>
          <w:color w:val="auto"/>
          <w:sz w:val="32"/>
          <w:szCs w:val="32"/>
          <w:lang w:val="en-US" w:bidi="ar"/>
        </w:rPr>
        <w:t>2024</w:t>
      </w:r>
      <w:r>
        <w:rPr>
          <w:rFonts w:hint="eastAsia" w:ascii="仿宋_GB2312" w:eastAsia="仿宋_GB2312"/>
          <w:color w:val="auto"/>
          <w:sz w:val="32"/>
          <w:szCs w:val="32"/>
          <w:lang w:bidi="ar"/>
        </w:rPr>
        <w:t>年度</w:t>
      </w:r>
      <w:r>
        <w:rPr>
          <w:rFonts w:hint="eastAsia" w:ascii="仿宋_GB2312" w:eastAsia="仿宋_GB2312"/>
          <w:color w:val="auto"/>
          <w:sz w:val="32"/>
          <w:szCs w:val="32"/>
          <w:lang w:eastAsia="zh-CN" w:bidi="ar"/>
        </w:rPr>
        <w:t>我部门</w:t>
      </w:r>
      <w:r>
        <w:rPr>
          <w:rFonts w:hint="eastAsia" w:ascii="仿宋_GB2312" w:eastAsia="仿宋_GB2312"/>
          <w:sz w:val="32"/>
          <w:szCs w:val="32"/>
          <w:lang w:eastAsia="zh-CN" w:bidi="ar"/>
        </w:rPr>
        <w:t>无</w:t>
      </w:r>
      <w:r>
        <w:rPr>
          <w:rFonts w:hint="eastAsia" w:ascii="仿宋_GB2312" w:eastAsia="仿宋_GB2312"/>
          <w:sz w:val="32"/>
          <w:szCs w:val="32"/>
          <w:lang w:bidi="ar"/>
        </w:rPr>
        <w:t>政府性基金预算项目</w:t>
      </w:r>
      <w:r>
        <w:rPr>
          <w:rFonts w:hint="eastAsia" w:ascii="仿宋_GB2312" w:eastAsia="仿宋_GB2312"/>
          <w:sz w:val="32"/>
          <w:szCs w:val="32"/>
          <w:lang w:eastAsia="zh-CN" w:bidi="ar"/>
        </w:rPr>
        <w:t>和</w:t>
      </w:r>
      <w:r>
        <w:rPr>
          <w:rFonts w:hint="eastAsia" w:ascii="仿宋_GB2312" w:eastAsia="仿宋_GB2312"/>
          <w:sz w:val="32"/>
          <w:szCs w:val="32"/>
          <w:lang w:bidi="ar"/>
        </w:rPr>
        <w:t>国有资本经营预算项目。</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宋体"/>
          <w:sz w:val="32"/>
          <w:szCs w:val="32"/>
          <w:lang w:val="en-US" w:eastAsia="zh-CN"/>
        </w:rPr>
      </w:pPr>
      <w:r>
        <w:rPr>
          <w:rFonts w:hint="eastAsia" w:ascii="仿宋_GB2312" w:eastAsia="仿宋_GB2312"/>
          <w:sz w:val="32"/>
          <w:szCs w:val="32"/>
        </w:rPr>
        <w:t>共组织对“</w:t>
      </w:r>
      <w:r>
        <w:rPr>
          <w:rFonts w:hint="eastAsia" w:ascii="仿宋_GB2312" w:hAnsi="仿宋_GB2312" w:eastAsia="仿宋_GB2312" w:cs="宋体"/>
          <w:sz w:val="32"/>
          <w:szCs w:val="32"/>
          <w:lang w:val="en-US" w:eastAsia="zh-CN"/>
        </w:rPr>
        <w:t>三亚市诉</w:t>
      </w:r>
      <w:r>
        <w:rPr>
          <w:rFonts w:hint="eastAsia" w:ascii="仿宋_GB2312" w:hAnsi="仿宋_GB2312" w:eastAsia="仿宋_GB2312" w:cs="宋体"/>
          <w:color w:val="auto"/>
          <w:sz w:val="32"/>
          <w:szCs w:val="32"/>
          <w:lang w:val="en-US" w:eastAsia="zh-CN"/>
        </w:rPr>
        <w:t>调对接服务中心</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个项目开展了部门评价，</w:t>
      </w:r>
      <w:r>
        <w:rPr>
          <w:rFonts w:hint="eastAsia" w:ascii="仿宋_GB2312" w:eastAsia="仿宋_GB2312"/>
          <w:color w:val="auto"/>
          <w:sz w:val="32"/>
          <w:szCs w:val="32"/>
          <w:lang w:bidi="ar"/>
        </w:rPr>
        <w:t>涉及一般公共预算支出</w:t>
      </w:r>
      <w:r>
        <w:rPr>
          <w:rFonts w:hint="eastAsia" w:ascii="仿宋_GB2312" w:eastAsia="仿宋_GB2312"/>
          <w:color w:val="auto"/>
          <w:sz w:val="32"/>
          <w:szCs w:val="32"/>
          <w:lang w:val="en-US" w:eastAsia="zh-CN" w:bidi="ar"/>
        </w:rPr>
        <w:t>768.38</w:t>
      </w:r>
      <w:r>
        <w:rPr>
          <w:rFonts w:hint="eastAsia" w:ascii="仿宋_GB2312" w:eastAsia="仿宋_GB2312"/>
          <w:color w:val="auto"/>
          <w:sz w:val="32"/>
          <w:szCs w:val="32"/>
          <w:lang w:bidi="ar"/>
        </w:rPr>
        <w:t>万元。</w:t>
      </w:r>
      <w:r>
        <w:rPr>
          <w:rFonts w:hint="eastAsia" w:ascii="仿宋_GB2312" w:eastAsia="仿宋_GB2312"/>
          <w:color w:val="auto"/>
          <w:sz w:val="32"/>
          <w:szCs w:val="32"/>
        </w:rPr>
        <w:t>从评价情况来看，</w:t>
      </w:r>
      <w:r>
        <w:rPr>
          <w:rFonts w:hint="eastAsia" w:ascii="仿宋_GB2312" w:hAnsi="仿宋_GB2312" w:eastAsia="仿宋_GB2312" w:cs="仿宋_GB2312"/>
          <w:color w:val="auto"/>
          <w:sz w:val="32"/>
          <w:szCs w:val="32"/>
          <w:lang w:eastAsia="zh-CN"/>
        </w:rPr>
        <w:t>三亚市诉调对接服务中心</w:t>
      </w:r>
      <w:r>
        <w:rPr>
          <w:rFonts w:hint="eastAsia" w:ascii="仿宋_GB2312" w:hAnsi="仿宋_GB2312" w:eastAsia="仿宋_GB2312" w:cs="仿宋_GB2312"/>
          <w:color w:val="auto"/>
          <w:kern w:val="0"/>
          <w:sz w:val="32"/>
          <w:szCs w:val="32"/>
          <w:lang w:val="en-US" w:eastAsia="zh-CN"/>
        </w:rPr>
        <w:t>项目实施过程</w:t>
      </w:r>
      <w:r>
        <w:rPr>
          <w:rFonts w:hint="eastAsia" w:ascii="仿宋_GB2312" w:hAnsi="仿宋_GB2312" w:eastAsia="仿宋_GB2312" w:cs="仿宋_GB2312"/>
          <w:kern w:val="0"/>
          <w:sz w:val="32"/>
          <w:szCs w:val="32"/>
          <w:lang w:val="en-US" w:eastAsia="zh-CN"/>
        </w:rPr>
        <w:t>中，严格按照相关规章制度开支各项经费支出，在最大程度节约项目资金的基础上，确保项目建设顺利开展。三</w:t>
      </w:r>
      <w:r>
        <w:rPr>
          <w:rFonts w:hint="eastAsia" w:ascii="仿宋_GB2312" w:hAnsi="仿宋_GB2312" w:eastAsia="仿宋_GB2312" w:cs="宋体"/>
          <w:sz w:val="32"/>
          <w:szCs w:val="32"/>
          <w:lang w:val="en-US" w:eastAsia="zh-CN"/>
        </w:rPr>
        <w:t>亚市诉调对接服务中心项目每一阶段施工均符合国家质量标准，项目阶段目标完成，设定的各项绩效指标均完成良好，2024年度已完成竣工验收并投入使用。</w:t>
      </w:r>
      <w:r>
        <w:rPr>
          <w:rFonts w:hint="eastAsia" w:ascii="仿宋_GB2312" w:hAnsi="宋体" w:cs="宋体"/>
          <w:kern w:val="0"/>
          <w:sz w:val="32"/>
          <w:szCs w:val="32"/>
          <w:lang w:val="en-US" w:eastAsia="zh-CN"/>
        </w:rPr>
        <w:t>2024年</w:t>
      </w:r>
      <w:r>
        <w:rPr>
          <w:rFonts w:hint="eastAsia" w:ascii="仿宋_GB2312" w:hAnsi="仿宋_GB2312" w:eastAsia="仿宋_GB2312" w:cs="仿宋_GB2312"/>
          <w:kern w:val="0"/>
          <w:sz w:val="32"/>
          <w:szCs w:val="32"/>
          <w:lang w:val="en-US" w:eastAsia="zh-CN"/>
        </w:rPr>
        <w:t>三亚市诉调对接服务中心项目支出76</w:t>
      </w:r>
      <w:r>
        <w:rPr>
          <w:rFonts w:hint="eastAsia" w:ascii="仿宋_GB2312" w:hAnsi="宋体" w:cs="宋体"/>
          <w:color w:val="000000"/>
          <w:kern w:val="0"/>
          <w:sz w:val="32"/>
          <w:szCs w:val="32"/>
          <w:lang w:val="en-US" w:eastAsia="zh-CN"/>
        </w:rPr>
        <w:t>8.38</w:t>
      </w:r>
      <w:r>
        <w:rPr>
          <w:rFonts w:hint="eastAsia" w:ascii="仿宋_GB2312" w:hAnsi="宋体" w:eastAsia="仿宋_GB2312" w:cs="宋体"/>
          <w:kern w:val="0"/>
          <w:sz w:val="32"/>
          <w:szCs w:val="32"/>
          <w:lang w:val="en-US" w:eastAsia="zh-CN"/>
        </w:rPr>
        <w:t>万元，</w:t>
      </w:r>
      <w:r>
        <w:rPr>
          <w:rFonts w:hint="eastAsia" w:ascii="仿宋_GB2312" w:hAnsi="仿宋_GB2312" w:eastAsia="仿宋_GB2312" w:cs="仿宋_GB2312"/>
          <w:kern w:val="0"/>
          <w:sz w:val="32"/>
          <w:szCs w:val="32"/>
          <w:lang w:val="en-US" w:eastAsia="zh-CN"/>
        </w:rPr>
        <w:t>完成率76.84%，</w:t>
      </w:r>
      <w:r>
        <w:rPr>
          <w:rFonts w:hint="eastAsia" w:ascii="仿宋_GB2312" w:hAnsi="仿宋_GB2312" w:eastAsia="仿宋_GB2312" w:cs="宋体"/>
          <w:sz w:val="32"/>
          <w:szCs w:val="32"/>
          <w:lang w:val="en-US" w:eastAsia="zh-CN"/>
        </w:rPr>
        <w:t>该项目绩效评价实际得分98分，项目总体绩效等级为“优”。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bCs/>
          <w:sz w:val="32"/>
          <w:szCs w:val="32"/>
        </w:rPr>
      </w:pPr>
      <w:r>
        <w:rPr>
          <w:rFonts w:hint="eastAsia" w:ascii="楷体" w:hAnsi="楷体" w:eastAsia="楷体" w:cs="楷体"/>
          <w:bCs/>
          <w:sz w:val="32"/>
          <w:szCs w:val="32"/>
        </w:rPr>
        <w:t>（二）部门决算中项目绩效自评结果</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eastAsia="仿宋_GB2312"/>
          <w:sz w:val="32"/>
          <w:szCs w:val="32"/>
        </w:rPr>
      </w:pPr>
      <w:r>
        <w:rPr>
          <w:rFonts w:hint="eastAsia" w:ascii="仿宋_GB2312" w:eastAsia="仿宋_GB2312" w:cs="仿宋_GB2312"/>
          <w:sz w:val="32"/>
          <w:szCs w:val="32"/>
          <w:shd w:val="clear" w:color="auto" w:fill="FFFFFF"/>
        </w:rPr>
        <w:t>我部门在部门决算中反映</w:t>
      </w:r>
      <w:r>
        <w:rPr>
          <w:rFonts w:hint="eastAsia" w:ascii="仿宋_GB2312" w:hAnsi="仿宋_GB2312" w:eastAsia="仿宋_GB2312" w:cs="宋体"/>
          <w:sz w:val="32"/>
          <w:szCs w:val="32"/>
          <w:lang w:eastAsia="zh-CN"/>
        </w:rPr>
        <w:t>综合运行事务</w:t>
      </w:r>
      <w:r>
        <w:rPr>
          <w:rFonts w:hint="eastAsia" w:ascii="仿宋_GB2312" w:eastAsia="仿宋_GB2312" w:cs="仿宋_GB2312"/>
          <w:sz w:val="32"/>
          <w:szCs w:val="32"/>
          <w:shd w:val="clear" w:color="auto" w:fill="FFFFFF"/>
        </w:rPr>
        <w:t>、</w:t>
      </w:r>
      <w:r>
        <w:rPr>
          <w:rFonts w:hint="eastAsia" w:ascii="仿宋_GB2312" w:eastAsia="仿宋_GB2312" w:cs="仿宋_GB2312"/>
          <w:sz w:val="32"/>
          <w:szCs w:val="32"/>
          <w:shd w:val="clear" w:color="auto" w:fill="FFFFFF"/>
          <w:lang w:eastAsia="zh-CN"/>
        </w:rPr>
        <w:t>执法办案业务</w:t>
      </w:r>
      <w:r>
        <w:rPr>
          <w:rFonts w:hint="eastAsia" w:ascii="仿宋_GB2312" w:hAnsi="仿宋_GB2312" w:eastAsia="仿宋_GB2312" w:cs="宋体"/>
          <w:sz w:val="32"/>
          <w:szCs w:val="32"/>
          <w:lang w:eastAsia="zh-CN"/>
        </w:rPr>
        <w:t>、</w:t>
      </w:r>
      <w:r>
        <w:rPr>
          <w:rFonts w:hint="eastAsia" w:ascii="仿宋_GB2312" w:hAnsi="仿宋" w:eastAsia="仿宋_GB2312"/>
          <w:color w:val="000000"/>
          <w:sz w:val="32"/>
          <w:szCs w:val="32"/>
          <w:lang w:eastAsia="zh-CN"/>
        </w:rPr>
        <w:t>聘用制书记员管理</w:t>
      </w:r>
      <w:r>
        <w:rPr>
          <w:rFonts w:hint="eastAsia" w:ascii="仿宋_GB2312" w:hAnsi="仿宋_GB2312" w:eastAsia="仿宋_GB2312" w:cs="宋体"/>
          <w:sz w:val="32"/>
          <w:szCs w:val="32"/>
          <w:lang w:eastAsia="zh-CN"/>
        </w:rPr>
        <w:t>等</w:t>
      </w:r>
      <w:r>
        <w:rPr>
          <w:rFonts w:hint="eastAsia" w:ascii="仿宋_GB2312" w:hAnsi="仿宋_GB2312" w:eastAsia="仿宋_GB2312" w:cs="宋体"/>
          <w:sz w:val="32"/>
          <w:szCs w:val="32"/>
          <w:lang w:val="en-US" w:eastAsia="zh-CN"/>
        </w:rPr>
        <w:t>3</w:t>
      </w:r>
      <w:r>
        <w:rPr>
          <w:rFonts w:hint="eastAsia" w:ascii="仿宋_GB2312" w:eastAsia="仿宋_GB2312" w:cs="仿宋_GB2312"/>
          <w:sz w:val="32"/>
          <w:szCs w:val="32"/>
          <w:shd w:val="clear" w:color="auto" w:fill="FFFFFF"/>
          <w:lang w:val="en-US" w:eastAsia="zh-CN"/>
        </w:rPr>
        <w:t>个项目的</w:t>
      </w:r>
      <w:r>
        <w:rPr>
          <w:rFonts w:hint="eastAsia" w:ascii="仿宋_GB2312" w:eastAsia="仿宋_GB2312" w:cs="仿宋_GB2312"/>
          <w:sz w:val="32"/>
          <w:szCs w:val="32"/>
          <w:shd w:val="clear" w:color="auto" w:fill="FFFFFF"/>
        </w:rPr>
        <w:t>绩效自评结果</w:t>
      </w:r>
      <w:r>
        <w:rPr>
          <w:rFonts w:hint="eastAsia" w:ascii="仿宋_GB2312" w:eastAsia="仿宋_GB2312"/>
          <w:sz w:val="32"/>
          <w:szCs w:val="32"/>
        </w:rPr>
        <w:t>（包括项目绩效自评表和项目绩效自评报告）。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lang w:eastAsia="zh-CN"/>
        </w:rPr>
      </w:pPr>
      <w:r>
        <w:rPr>
          <w:rFonts w:hint="eastAsia" w:ascii="仿宋_GB2312" w:hAnsi="仿宋_GB2312" w:eastAsia="仿宋_GB2312" w:cs="宋体"/>
          <w:color w:val="auto"/>
          <w:sz w:val="32"/>
          <w:szCs w:val="32"/>
          <w:lang w:eastAsia="zh-CN"/>
        </w:rPr>
        <w:t>综合运行事务</w:t>
      </w:r>
      <w:r>
        <w:rPr>
          <w:rFonts w:hint="eastAsia" w:ascii="仿宋_GB2312" w:eastAsia="仿宋_GB2312"/>
          <w:color w:val="auto"/>
          <w:sz w:val="32"/>
          <w:szCs w:val="32"/>
        </w:rPr>
        <w:t>项目绩效自评表：</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附后</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sz w:val="32"/>
          <w:szCs w:val="32"/>
          <w:shd w:val="clear" w:color="auto" w:fill="FFFFFF"/>
          <w:lang w:eastAsia="zh-CN"/>
        </w:rPr>
      </w:pPr>
      <w:r>
        <w:rPr>
          <w:rFonts w:hint="eastAsia" w:ascii="仿宋_GB2312" w:hAnsi="仿宋_GB2312" w:eastAsia="仿宋_GB2312" w:cs="宋体"/>
          <w:color w:val="auto"/>
          <w:sz w:val="32"/>
          <w:szCs w:val="32"/>
          <w:lang w:eastAsia="zh-CN"/>
        </w:rPr>
        <w:t>综合运行事务</w:t>
      </w:r>
      <w:r>
        <w:rPr>
          <w:rFonts w:hint="eastAsia" w:ascii="仿宋_GB2312" w:eastAsia="仿宋_GB2312"/>
          <w:color w:val="auto"/>
          <w:sz w:val="32"/>
          <w:szCs w:val="32"/>
        </w:rPr>
        <w:t>项目绩效自评报告：根据年初设定的绩效目标，项目绩效自评得分为</w:t>
      </w:r>
      <w:r>
        <w:rPr>
          <w:rFonts w:hint="eastAsia" w:ascii="仿宋_GB2312" w:eastAsia="仿宋_GB2312"/>
          <w:color w:val="auto"/>
          <w:sz w:val="32"/>
          <w:szCs w:val="32"/>
          <w:lang w:val="en-US" w:eastAsia="zh-CN"/>
        </w:rPr>
        <w:t>97.93</w:t>
      </w:r>
      <w:r>
        <w:rPr>
          <w:rFonts w:hint="eastAsia" w:ascii="仿宋_GB2312" w:eastAsia="仿宋_GB2312"/>
          <w:color w:val="auto"/>
          <w:sz w:val="32"/>
          <w:szCs w:val="32"/>
        </w:rPr>
        <w:t>分。全年预算数为</w:t>
      </w:r>
      <w:r>
        <w:rPr>
          <w:rFonts w:hint="eastAsia" w:ascii="仿宋_GB2312" w:eastAsia="仿宋_GB2312"/>
          <w:color w:val="auto"/>
          <w:sz w:val="32"/>
          <w:szCs w:val="32"/>
          <w:lang w:val="en-US" w:eastAsia="zh-CN"/>
        </w:rPr>
        <w:t>1131.46</w:t>
      </w:r>
      <w:r>
        <w:rPr>
          <w:rFonts w:hint="eastAsia" w:ascii="仿宋_GB2312" w:eastAsia="仿宋_GB2312"/>
          <w:color w:val="auto"/>
          <w:sz w:val="32"/>
          <w:szCs w:val="32"/>
        </w:rPr>
        <w:t>万元，执行数为</w:t>
      </w:r>
      <w:r>
        <w:rPr>
          <w:rFonts w:hint="eastAsia" w:ascii="仿宋_GB2312" w:eastAsia="仿宋_GB2312"/>
          <w:color w:val="auto"/>
          <w:sz w:val="32"/>
          <w:szCs w:val="32"/>
          <w:lang w:val="en-US" w:eastAsia="zh-CN"/>
        </w:rPr>
        <w:t>897.02</w:t>
      </w:r>
      <w:r>
        <w:rPr>
          <w:rFonts w:hint="eastAsia" w:ascii="仿宋_GB2312" w:eastAsia="仿宋_GB2312"/>
          <w:color w:val="auto"/>
          <w:sz w:val="32"/>
          <w:szCs w:val="32"/>
        </w:rPr>
        <w:t>万元，完成预算的</w:t>
      </w:r>
      <w:r>
        <w:rPr>
          <w:rFonts w:hint="eastAsia" w:ascii="仿宋_GB2312" w:eastAsia="仿宋_GB2312"/>
          <w:color w:val="auto"/>
          <w:sz w:val="32"/>
          <w:szCs w:val="32"/>
          <w:lang w:val="en-US" w:eastAsia="zh-CN"/>
        </w:rPr>
        <w:t>79.28</w:t>
      </w:r>
      <w:r>
        <w:rPr>
          <w:rFonts w:hint="eastAsia" w:ascii="仿宋_GB2312" w:eastAsia="仿宋_GB2312"/>
          <w:color w:val="auto"/>
          <w:sz w:val="32"/>
          <w:szCs w:val="32"/>
        </w:rPr>
        <w:t>%。项目绩效目标完成情况：</w:t>
      </w:r>
      <w:r>
        <w:rPr>
          <w:rFonts w:hint="eastAsia" w:ascii="仿宋_GB2312" w:hAnsi="仿宋_GB2312" w:eastAsia="仿宋_GB2312" w:cs="宋体"/>
          <w:color w:val="auto"/>
          <w:sz w:val="32"/>
          <w:szCs w:val="32"/>
          <w:lang w:eastAsia="zh-CN"/>
        </w:rPr>
        <w:t>一是服务保障全院工作人员2</w:t>
      </w:r>
      <w:r>
        <w:rPr>
          <w:rFonts w:hint="eastAsia" w:ascii="仿宋_GB2312" w:hAnsi="仿宋_GB2312" w:eastAsia="仿宋_GB2312" w:cs="宋体"/>
          <w:color w:val="auto"/>
          <w:sz w:val="32"/>
          <w:szCs w:val="32"/>
          <w:lang w:val="en-US" w:eastAsia="zh-CN"/>
        </w:rPr>
        <w:t>8</w:t>
      </w:r>
      <w:r>
        <w:rPr>
          <w:rFonts w:hint="eastAsia" w:ascii="仿宋_GB2312" w:hAnsi="仿宋_GB2312" w:eastAsia="仿宋_GB2312" w:cs="宋体"/>
          <w:color w:val="auto"/>
          <w:sz w:val="32"/>
          <w:szCs w:val="32"/>
          <w:lang w:eastAsia="zh-CN"/>
        </w:rPr>
        <w:t>0人以上的正常</w:t>
      </w:r>
      <w:r>
        <w:rPr>
          <w:rFonts w:hint="eastAsia" w:ascii="仿宋_GB2312" w:hAnsi="仿宋_GB2312" w:eastAsia="仿宋_GB2312" w:cs="宋体"/>
          <w:sz w:val="32"/>
          <w:szCs w:val="32"/>
          <w:lang w:eastAsia="zh-CN"/>
        </w:rPr>
        <w:t>工作运转；二是法律知识普及率95%，全体法院工作人员满意度9</w:t>
      </w:r>
      <w:r>
        <w:rPr>
          <w:rFonts w:hint="eastAsia" w:ascii="仿宋_GB2312" w:hAnsi="仿宋_GB2312" w:eastAsia="仿宋_GB2312" w:cs="宋体"/>
          <w:sz w:val="32"/>
          <w:szCs w:val="32"/>
          <w:lang w:val="en-US" w:eastAsia="zh-CN"/>
        </w:rPr>
        <w:t>5</w:t>
      </w:r>
      <w:r>
        <w:rPr>
          <w:rFonts w:hint="eastAsia" w:ascii="仿宋_GB2312" w:hAnsi="仿宋_GB2312" w:eastAsia="仿宋_GB2312" w:cs="宋体"/>
          <w:sz w:val="32"/>
          <w:szCs w:val="32"/>
          <w:lang w:eastAsia="zh-CN"/>
        </w:rPr>
        <w:t>%，很好地完成了设定的各项预期绩效目标，有效保障了法院各项工作顺利开展。</w:t>
      </w:r>
      <w:r>
        <w:rPr>
          <w:rFonts w:hint="eastAsia" w:ascii="仿宋_GB2312" w:eastAsia="仿宋_GB2312"/>
          <w:sz w:val="32"/>
          <w:szCs w:val="32"/>
        </w:rPr>
        <w:t>发现的主要问题及原因：</w:t>
      </w:r>
      <w:r>
        <w:rPr>
          <w:rFonts w:hint="eastAsia" w:ascii="仿宋_GB2312" w:eastAsia="仿宋_GB2312" w:cs="仿宋_GB2312"/>
          <w:sz w:val="32"/>
          <w:szCs w:val="32"/>
          <w:shd w:val="clear" w:color="auto" w:fill="FFFFFF"/>
          <w:lang w:val="en-US" w:eastAsia="zh-CN"/>
        </w:rPr>
        <w:t>一是执行率仍有待提高；二是</w:t>
      </w:r>
      <w:r>
        <w:rPr>
          <w:rFonts w:hint="eastAsia" w:ascii="仿宋_GB2312" w:eastAsia="仿宋_GB2312"/>
          <w:sz w:val="32"/>
          <w:szCs w:val="32"/>
        </w:rPr>
        <w:t>由于项目预算编制的准确性、预见性较差，实际执行过程中未</w:t>
      </w:r>
      <w:r>
        <w:rPr>
          <w:rFonts w:hint="eastAsia" w:ascii="仿宋_GB2312" w:eastAsia="仿宋_GB2312"/>
          <w:sz w:val="32"/>
          <w:szCs w:val="32"/>
          <w:lang w:eastAsia="zh-CN"/>
        </w:rPr>
        <w:t>能</w:t>
      </w:r>
      <w:r>
        <w:rPr>
          <w:rFonts w:hint="eastAsia" w:ascii="仿宋_GB2312" w:eastAsia="仿宋_GB2312"/>
          <w:sz w:val="32"/>
          <w:szCs w:val="32"/>
        </w:rPr>
        <w:t>严格按照预算编制的项目实施，使得某些费用的预算编制与实际支出差异较大，如劳务费、办公设备购置费等</w:t>
      </w:r>
      <w:r>
        <w:rPr>
          <w:rFonts w:hint="eastAsia" w:ascii="仿宋_GB2312" w:eastAsia="仿宋_GB2312"/>
          <w:sz w:val="32"/>
          <w:szCs w:val="32"/>
          <w:lang w:val="en-US" w:eastAsia="zh-CN"/>
        </w:rPr>
        <w:t>。</w:t>
      </w:r>
      <w:r>
        <w:rPr>
          <w:rFonts w:hint="eastAsia" w:ascii="仿宋_GB2312" w:eastAsia="仿宋_GB2312"/>
          <w:sz w:val="32"/>
          <w:szCs w:val="32"/>
        </w:rPr>
        <w:t>下一步改进措施：</w:t>
      </w:r>
      <w:r>
        <w:rPr>
          <w:rFonts w:hint="eastAsia" w:ascii="仿宋_GB2312" w:eastAsia="仿宋_GB2312" w:cs="仿宋_GB2312"/>
          <w:sz w:val="32"/>
          <w:szCs w:val="32"/>
          <w:shd w:val="clear" w:color="auto" w:fill="FFFFFF"/>
          <w:lang w:val="en-US" w:eastAsia="zh-CN"/>
        </w:rPr>
        <w:t>一是</w:t>
      </w:r>
      <w:r>
        <w:rPr>
          <w:rFonts w:hint="eastAsia" w:ascii="仿宋_GB2312" w:eastAsia="仿宋_GB2312" w:cs="仿宋_GB2312"/>
          <w:sz w:val="32"/>
          <w:szCs w:val="32"/>
          <w:shd w:val="clear" w:color="auto" w:fill="FFFFFF"/>
        </w:rPr>
        <w:t>严格按照相关规章制度开支各项经费支出，在最大程度节约项目资金的基础上，</w:t>
      </w:r>
      <w:r>
        <w:rPr>
          <w:rFonts w:hint="eastAsia" w:ascii="仿宋_GB2312" w:eastAsia="仿宋_GB2312" w:cs="仿宋_GB2312"/>
          <w:sz w:val="32"/>
          <w:szCs w:val="32"/>
          <w:shd w:val="clear" w:color="auto" w:fill="FFFFFF"/>
          <w:lang w:eastAsia="zh-CN"/>
        </w:rPr>
        <w:t>提高支出执行率，</w:t>
      </w:r>
      <w:r>
        <w:rPr>
          <w:rFonts w:hint="eastAsia" w:ascii="仿宋_GB2312" w:eastAsia="仿宋_GB2312" w:cs="仿宋_GB2312"/>
          <w:sz w:val="32"/>
          <w:szCs w:val="32"/>
          <w:shd w:val="clear" w:color="auto" w:fill="FFFFFF"/>
        </w:rPr>
        <w:t>确保案件工作顺利开展</w:t>
      </w:r>
      <w:r>
        <w:rPr>
          <w:rFonts w:hint="eastAsia" w:ascii="仿宋_GB2312" w:eastAsia="仿宋_GB2312" w:cs="仿宋_GB2312"/>
          <w:sz w:val="32"/>
          <w:szCs w:val="32"/>
          <w:shd w:val="clear" w:color="auto" w:fill="FFFFFF"/>
          <w:lang w:eastAsia="zh-CN"/>
        </w:rPr>
        <w:t>；二是</w:t>
      </w:r>
      <w:r>
        <w:rPr>
          <w:rFonts w:hint="eastAsia" w:ascii="仿宋_GB2312" w:eastAsia="仿宋_GB2312" w:cs="仿宋_GB2312"/>
          <w:sz w:val="32"/>
          <w:szCs w:val="32"/>
          <w:shd w:val="clear" w:color="auto" w:fill="FFFFFF"/>
          <w:lang w:val="en-US" w:eastAsia="zh-CN"/>
        </w:rPr>
        <w:t>争取根据实际情况，将各项细</w:t>
      </w:r>
      <w:r>
        <w:rPr>
          <w:rFonts w:hint="eastAsia" w:ascii="仿宋_GB2312" w:eastAsia="仿宋_GB2312" w:cs="仿宋_GB2312"/>
          <w:sz w:val="32"/>
          <w:szCs w:val="32"/>
          <w:shd w:val="clear" w:color="auto" w:fill="FFFFFF"/>
        </w:rPr>
        <w:t>分经费测算得更加精准合理，减少经济分类的调剂</w:t>
      </w:r>
      <w:r>
        <w:rPr>
          <w:rFonts w:hint="eastAsia" w:ascii="仿宋_GB2312" w:eastAsia="仿宋_GB2312" w:cs="仿宋_GB2312"/>
          <w:sz w:val="32"/>
          <w:szCs w:val="32"/>
          <w:shd w:val="clear" w:color="auto" w:fill="FFFFFF"/>
          <w:lang w:eastAsia="zh-CN"/>
        </w:rPr>
        <w:t>。</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textAlignment w:val="auto"/>
        <w:rPr>
          <w:rFonts w:hint="eastAsia" w:ascii="仿宋_GB2312" w:hAnsi="仿宋_GB2312" w:eastAsia="仿宋_GB2312" w:cs="宋体"/>
          <w:sz w:val="32"/>
          <w:szCs w:val="32"/>
          <w:lang w:eastAsia="zh-CN"/>
        </w:rPr>
      </w:pPr>
      <w:r>
        <w:rPr>
          <w:rFonts w:hint="eastAsia" w:ascii="仿宋_GB2312" w:hAnsi="仿宋_GB2312" w:eastAsia="仿宋_GB2312" w:cs="宋体"/>
          <w:sz w:val="32"/>
          <w:szCs w:val="32"/>
          <w:lang w:eastAsia="zh-CN"/>
        </w:rPr>
        <w:t>执法办案业务</w:t>
      </w:r>
      <w:r>
        <w:rPr>
          <w:rFonts w:ascii="仿宋_GB2312" w:hAnsi="仿宋_GB2312" w:eastAsia="仿宋_GB2312" w:cs="宋体"/>
          <w:sz w:val="32"/>
          <w:szCs w:val="32"/>
        </w:rPr>
        <w:t>项目</w:t>
      </w:r>
      <w:r>
        <w:rPr>
          <w:rFonts w:hint="eastAsia" w:ascii="仿宋_GB2312" w:eastAsia="仿宋_GB2312" w:cs="仿宋_GB2312"/>
          <w:sz w:val="32"/>
          <w:szCs w:val="32"/>
          <w:shd w:val="clear" w:color="auto" w:fill="FFFFFF"/>
        </w:rPr>
        <w:t>绩效自评</w:t>
      </w:r>
      <w:r>
        <w:rPr>
          <w:rFonts w:hint="eastAsia" w:ascii="仿宋_GB2312" w:eastAsia="仿宋_GB2312" w:cs="仿宋_GB2312"/>
          <w:sz w:val="32"/>
          <w:szCs w:val="32"/>
          <w:shd w:val="clear" w:color="auto" w:fill="FFFFFF"/>
          <w:lang w:eastAsia="zh-CN"/>
        </w:rPr>
        <w:t>表：（附后）</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textAlignment w:val="auto"/>
        <w:rPr>
          <w:rFonts w:hint="eastAsia" w:ascii="仿宋_GB2312" w:hAnsi="仿宋_GB2312" w:eastAsia="仿宋_GB2312" w:cs="宋体"/>
          <w:sz w:val="32"/>
          <w:szCs w:val="32"/>
          <w:lang w:eastAsia="zh-CN"/>
        </w:rPr>
      </w:pPr>
      <w:r>
        <w:rPr>
          <w:rFonts w:hint="eastAsia" w:ascii="仿宋_GB2312" w:hAnsi="仿宋_GB2312" w:eastAsia="仿宋_GB2312" w:cs="宋体"/>
          <w:sz w:val="32"/>
          <w:szCs w:val="32"/>
          <w:lang w:eastAsia="zh-CN"/>
        </w:rPr>
        <w:t>执法办案业务</w:t>
      </w:r>
      <w:r>
        <w:rPr>
          <w:rFonts w:ascii="仿宋_GB2312" w:hAnsi="仿宋_GB2312" w:eastAsia="仿宋_GB2312" w:cs="宋体"/>
          <w:sz w:val="32"/>
          <w:szCs w:val="32"/>
        </w:rPr>
        <w:t>项目</w:t>
      </w:r>
      <w:r>
        <w:rPr>
          <w:rFonts w:hint="eastAsia" w:ascii="仿宋_GB2312" w:eastAsia="仿宋_GB2312" w:cs="仿宋_GB2312"/>
          <w:sz w:val="32"/>
          <w:szCs w:val="32"/>
          <w:shd w:val="clear" w:color="auto" w:fill="FFFFFF"/>
        </w:rPr>
        <w:t>绩效自评</w:t>
      </w:r>
      <w:r>
        <w:rPr>
          <w:rFonts w:hint="eastAsia" w:ascii="仿宋_GB2312" w:eastAsia="仿宋_GB2312" w:cs="仿宋_GB2312"/>
          <w:sz w:val="32"/>
          <w:szCs w:val="32"/>
          <w:shd w:val="clear" w:color="auto" w:fill="FFFFFF"/>
          <w:lang w:eastAsia="zh-CN"/>
        </w:rPr>
        <w:t>报告</w:t>
      </w:r>
      <w:r>
        <w:rPr>
          <w:rFonts w:hint="eastAsia" w:ascii="仿宋_GB2312" w:eastAsia="仿宋_GB2312" w:cs="仿宋_GB2312"/>
          <w:sz w:val="32"/>
          <w:szCs w:val="32"/>
          <w:shd w:val="clear" w:color="auto" w:fill="FFFFFF"/>
        </w:rPr>
        <w:t>：根据年初设定的绩效目标，项目绩效自评得分为</w:t>
      </w:r>
      <w:r>
        <w:rPr>
          <w:rFonts w:hint="eastAsia" w:ascii="仿宋_GB2312" w:eastAsia="仿宋_GB2312" w:cs="仿宋_GB2312"/>
          <w:sz w:val="32"/>
          <w:szCs w:val="32"/>
          <w:shd w:val="clear" w:color="auto" w:fill="FFFFFF"/>
          <w:lang w:val="en-US" w:eastAsia="zh-CN"/>
        </w:rPr>
        <w:t>99.76</w:t>
      </w:r>
      <w:r>
        <w:rPr>
          <w:rFonts w:hint="eastAsia" w:ascii="仿宋_GB2312" w:eastAsia="仿宋_GB2312" w:cs="仿宋_GB2312"/>
          <w:sz w:val="32"/>
          <w:szCs w:val="32"/>
          <w:shd w:val="clear" w:color="auto" w:fill="FFFFFF"/>
        </w:rPr>
        <w:t>分。全年预算数为</w:t>
      </w:r>
      <w:r>
        <w:rPr>
          <w:rFonts w:hint="eastAsia" w:ascii="仿宋_GB2312" w:eastAsia="仿宋_GB2312" w:cs="仿宋_GB2312"/>
          <w:sz w:val="32"/>
          <w:szCs w:val="32"/>
          <w:shd w:val="clear" w:color="auto" w:fill="FFFFFF"/>
          <w:lang w:val="en-US" w:eastAsia="zh-CN"/>
        </w:rPr>
        <w:t>994.11</w:t>
      </w:r>
      <w:r>
        <w:rPr>
          <w:rFonts w:hint="eastAsia" w:ascii="仿宋_GB2312" w:eastAsia="仿宋_GB2312" w:cs="仿宋_GB2312"/>
          <w:sz w:val="32"/>
          <w:szCs w:val="32"/>
          <w:shd w:val="clear" w:color="auto" w:fill="FFFFFF"/>
        </w:rPr>
        <w:t>万元，执行数为</w:t>
      </w:r>
      <w:r>
        <w:rPr>
          <w:rFonts w:hint="eastAsia" w:ascii="仿宋_GB2312" w:eastAsia="仿宋_GB2312" w:cs="仿宋_GB2312"/>
          <w:sz w:val="32"/>
          <w:szCs w:val="32"/>
          <w:shd w:val="clear" w:color="auto" w:fill="FFFFFF"/>
          <w:lang w:val="en-US" w:eastAsia="zh-CN"/>
        </w:rPr>
        <w:t>993.61</w:t>
      </w:r>
      <w:r>
        <w:rPr>
          <w:rFonts w:hint="eastAsia" w:ascii="仿宋_GB2312" w:eastAsia="仿宋_GB2312" w:cs="仿宋_GB2312"/>
          <w:sz w:val="32"/>
          <w:szCs w:val="32"/>
          <w:shd w:val="clear" w:color="auto" w:fill="FFFFFF"/>
        </w:rPr>
        <w:t>万元，完成预算的</w:t>
      </w:r>
      <w:r>
        <w:rPr>
          <w:rFonts w:hint="eastAsia" w:ascii="仿宋_GB2312" w:eastAsia="仿宋_GB2312" w:cs="仿宋_GB2312"/>
          <w:sz w:val="32"/>
          <w:szCs w:val="32"/>
          <w:shd w:val="clear" w:color="auto" w:fill="FFFFFF"/>
          <w:lang w:val="en-US" w:eastAsia="zh-CN"/>
        </w:rPr>
        <w:t>99.95</w:t>
      </w:r>
      <w:r>
        <w:rPr>
          <w:rFonts w:hint="eastAsia" w:ascii="仿宋_GB2312" w:eastAsia="仿宋_GB2312" w:cs="仿宋_GB2312"/>
          <w:sz w:val="32"/>
          <w:szCs w:val="32"/>
          <w:shd w:val="clear" w:color="auto" w:fill="FFFFFF"/>
          <w:lang w:val="en-US"/>
        </w:rPr>
        <w:t>%</w:t>
      </w:r>
      <w:r>
        <w:rPr>
          <w:rFonts w:hint="eastAsia" w:ascii="仿宋_GB2312" w:eastAsia="仿宋_GB2312" w:cs="仿宋_GB2312"/>
          <w:sz w:val="32"/>
          <w:szCs w:val="32"/>
          <w:shd w:val="clear" w:color="auto" w:fill="FFFFFF"/>
        </w:rPr>
        <w:t>。项目绩效目标完成情况：</w:t>
      </w:r>
      <w:r>
        <w:rPr>
          <w:rFonts w:hint="eastAsia" w:ascii="仿宋_GB2312" w:hAnsi="Times New Roman" w:eastAsia="仿宋_GB2312" w:cs="仿宋_GB2312"/>
          <w:sz w:val="32"/>
          <w:szCs w:val="32"/>
          <w:shd w:val="clear" w:color="auto" w:fill="FFFFFF"/>
          <w:lang w:eastAsia="zh-CN"/>
        </w:rPr>
        <w:t>一是</w:t>
      </w:r>
      <w:r>
        <w:rPr>
          <w:rFonts w:hint="eastAsia" w:ascii="仿宋_GB2312" w:hAnsi="仿宋_GB2312" w:eastAsia="仿宋_GB2312" w:cs="仿宋_GB2312"/>
          <w:kern w:val="0"/>
          <w:sz w:val="32"/>
          <w:szCs w:val="32"/>
          <w:lang w:eastAsia="zh-CN"/>
        </w:rPr>
        <w:t>收</w:t>
      </w:r>
      <w:r>
        <w:rPr>
          <w:rFonts w:hint="eastAsia" w:ascii="仿宋_GB2312" w:hAnsi="仿宋_GB2312" w:eastAsia="仿宋_GB2312" w:cs="仿宋_GB2312"/>
          <w:kern w:val="0"/>
          <w:sz w:val="32"/>
          <w:szCs w:val="32"/>
        </w:rPr>
        <w:t>案件数</w:t>
      </w:r>
      <w:r>
        <w:rPr>
          <w:rFonts w:hint="eastAsia" w:ascii="仿宋_GB2312" w:hAnsi="仿宋_GB2312" w:eastAsia="仿宋_GB2312" w:cs="仿宋_GB2312"/>
          <w:kern w:val="0"/>
          <w:sz w:val="32"/>
          <w:szCs w:val="32"/>
          <w:lang w:val="en-US" w:eastAsia="zh-CN"/>
        </w:rPr>
        <w:t>7979</w:t>
      </w:r>
      <w:r>
        <w:rPr>
          <w:rFonts w:hint="eastAsia" w:ascii="仿宋_GB2312" w:hAnsi="仿宋_GB2312" w:eastAsia="仿宋_GB2312" w:cs="仿宋_GB2312"/>
          <w:kern w:val="0"/>
          <w:sz w:val="32"/>
          <w:szCs w:val="32"/>
        </w:rPr>
        <w:t>件，</w:t>
      </w:r>
      <w:r>
        <w:rPr>
          <w:rFonts w:hint="eastAsia" w:ascii="仿宋_GB2312" w:hAnsi="仿宋_GB2312" w:eastAsia="仿宋_GB2312" w:cs="仿宋_GB2312"/>
          <w:color w:val="000000"/>
          <w:kern w:val="0"/>
          <w:sz w:val="32"/>
          <w:szCs w:val="32"/>
          <w:lang w:eastAsia="zh-CN"/>
        </w:rPr>
        <w:t>案件受理率</w:t>
      </w:r>
      <w:r>
        <w:rPr>
          <w:rFonts w:hint="eastAsia" w:ascii="仿宋_GB2312" w:hAnsi="仿宋_GB2312" w:eastAsia="仿宋_GB2312" w:cs="仿宋_GB2312"/>
          <w:color w:val="000000"/>
          <w:kern w:val="0"/>
          <w:sz w:val="32"/>
          <w:szCs w:val="32"/>
          <w:lang w:val="en-US" w:eastAsia="zh-CN"/>
        </w:rPr>
        <w:t>90%以上，</w:t>
      </w:r>
      <w:r>
        <w:rPr>
          <w:rFonts w:hint="eastAsia" w:ascii="仿宋_GB2312" w:hAnsi="仿宋_GB2312" w:eastAsia="仿宋_GB2312" w:cs="仿宋_GB2312"/>
          <w:kern w:val="0"/>
          <w:sz w:val="32"/>
          <w:szCs w:val="32"/>
        </w:rPr>
        <w:t>结案率</w:t>
      </w:r>
      <w:r>
        <w:rPr>
          <w:rFonts w:hint="eastAsia" w:ascii="仿宋_GB2312" w:hAnsi="仿宋_GB2312" w:eastAsia="仿宋_GB2312" w:cs="仿宋_GB2312"/>
          <w:kern w:val="0"/>
          <w:sz w:val="32"/>
          <w:szCs w:val="32"/>
          <w:lang w:val="en-US" w:eastAsia="zh-CN"/>
        </w:rPr>
        <w:t>89.27</w:t>
      </w:r>
      <w:r>
        <w:rPr>
          <w:rFonts w:hint="eastAsia" w:ascii="仿宋_GB2312" w:hAnsi="仿宋_GB2312" w:eastAsia="仿宋_GB2312" w:cs="仿宋_GB2312"/>
          <w:kern w:val="0"/>
          <w:sz w:val="32"/>
          <w:szCs w:val="32"/>
        </w:rPr>
        <w:t>%，</w:t>
      </w:r>
      <w:r>
        <w:rPr>
          <w:rFonts w:hint="eastAsia" w:ascii="仿宋_GB2312" w:hAnsi="仿宋_GB2312" w:eastAsia="仿宋_GB2312" w:cs="仿宋_GB2312"/>
          <w:color w:val="000000"/>
          <w:kern w:val="0"/>
          <w:sz w:val="32"/>
          <w:szCs w:val="32"/>
          <w:lang w:val="en-US" w:eastAsia="zh-CN"/>
        </w:rPr>
        <w:t>生效案件改判发回重审率5%以下</w:t>
      </w:r>
      <w:r>
        <w:rPr>
          <w:rFonts w:hint="eastAsia" w:ascii="仿宋_GB2312" w:eastAsia="仿宋_GB2312" w:cs="仿宋_GB2312"/>
          <w:sz w:val="32"/>
          <w:szCs w:val="32"/>
          <w:shd w:val="clear" w:color="auto" w:fill="FFFFFF"/>
          <w:lang w:eastAsia="zh-CN"/>
        </w:rPr>
        <w:t>；</w:t>
      </w:r>
      <w:r>
        <w:rPr>
          <w:rFonts w:hint="eastAsia" w:ascii="仿宋_GB2312" w:hAnsi="Times New Roman" w:eastAsia="仿宋_GB2312" w:cs="仿宋_GB2312"/>
          <w:sz w:val="32"/>
          <w:szCs w:val="32"/>
          <w:shd w:val="clear" w:color="auto" w:fill="FFFFFF"/>
          <w:lang w:eastAsia="zh-CN"/>
        </w:rPr>
        <w:t>二是</w:t>
      </w:r>
      <w:r>
        <w:rPr>
          <w:rFonts w:hint="eastAsia" w:ascii="仿宋_GB2312" w:hAnsi="Times New Roman" w:eastAsia="仿宋_GB2312" w:cs="仿宋_GB2312"/>
          <w:sz w:val="32"/>
          <w:szCs w:val="32"/>
          <w:shd w:val="clear" w:color="auto" w:fill="FFFFFF"/>
        </w:rPr>
        <w:t>服务对象满意度9</w:t>
      </w:r>
      <w:r>
        <w:rPr>
          <w:rFonts w:hint="eastAsia" w:ascii="仿宋_GB2312" w:hAnsi="Times New Roman" w:eastAsia="仿宋_GB2312" w:cs="仿宋_GB2312"/>
          <w:sz w:val="32"/>
          <w:szCs w:val="32"/>
          <w:shd w:val="clear" w:color="auto" w:fill="FFFFFF"/>
          <w:lang w:val="en-US" w:eastAsia="zh-CN"/>
        </w:rPr>
        <w:t>0</w:t>
      </w:r>
      <w:r>
        <w:rPr>
          <w:rFonts w:hint="eastAsia" w:ascii="仿宋_GB2312" w:hAnsi="Times New Roman" w:eastAsia="仿宋_GB2312" w:cs="仿宋_GB2312"/>
          <w:sz w:val="32"/>
          <w:szCs w:val="32"/>
          <w:shd w:val="clear" w:color="auto" w:fill="FFFFFF"/>
        </w:rPr>
        <w:t>%</w:t>
      </w:r>
      <w:r>
        <w:rPr>
          <w:rFonts w:hint="eastAsia" w:ascii="仿宋_GB2312" w:hAnsi="Times New Roman" w:eastAsia="仿宋_GB2312" w:cs="仿宋_GB2312"/>
          <w:sz w:val="32"/>
          <w:szCs w:val="32"/>
          <w:shd w:val="clear" w:color="auto" w:fill="FFFFFF"/>
          <w:lang w:eastAsia="zh-CN"/>
        </w:rPr>
        <w:t>，</w:t>
      </w:r>
      <w:r>
        <w:rPr>
          <w:rFonts w:hint="eastAsia" w:ascii="仿宋_GB2312" w:hAnsi="Times New Roman" w:eastAsia="仿宋_GB2312" w:cs="仿宋_GB2312"/>
          <w:sz w:val="32"/>
          <w:szCs w:val="32"/>
          <w:shd w:val="clear" w:color="auto" w:fill="FFFFFF"/>
        </w:rPr>
        <w:t>高效、高质的完成案件审判等相关工作，提高了办案</w:t>
      </w:r>
      <w:r>
        <w:rPr>
          <w:rFonts w:ascii="仿宋_GB2312" w:hAnsi="仿宋_GB2312" w:eastAsia="仿宋_GB2312" w:cs="宋体"/>
          <w:sz w:val="32"/>
          <w:szCs w:val="32"/>
        </w:rPr>
        <w:t>效率和结案率，项目完成情况良好，综合评价等级为优。</w:t>
      </w:r>
      <w:r>
        <w:rPr>
          <w:rFonts w:hint="eastAsia" w:ascii="仿宋_GB2312" w:hAnsi="Times New Roman" w:eastAsia="仿宋_GB2312" w:cs="仿宋_GB2312"/>
          <w:sz w:val="32"/>
          <w:szCs w:val="32"/>
          <w:shd w:val="clear" w:color="auto" w:fill="FFFFFF"/>
          <w:lang w:val="en-US" w:eastAsia="zh-CN"/>
        </w:rPr>
        <w:t>发现的主要问题及原因：一是效益指标中的结案率完成率为</w:t>
      </w:r>
      <w:r>
        <w:rPr>
          <w:rFonts w:hint="eastAsia" w:ascii="仿宋_GB2312" w:eastAsia="仿宋_GB2312" w:cs="仿宋_GB2312"/>
          <w:sz w:val="32"/>
          <w:szCs w:val="32"/>
          <w:shd w:val="clear" w:color="auto" w:fill="FFFFFF"/>
          <w:lang w:val="en-US" w:eastAsia="zh-CN"/>
        </w:rPr>
        <w:t>89.27</w:t>
      </w:r>
      <w:r>
        <w:rPr>
          <w:rFonts w:hint="eastAsia" w:ascii="仿宋_GB2312" w:hAnsi="Times New Roman" w:eastAsia="仿宋_GB2312" w:cs="仿宋_GB2312"/>
          <w:sz w:val="32"/>
          <w:szCs w:val="32"/>
          <w:shd w:val="clear" w:color="auto" w:fill="FFFFFF"/>
          <w:lang w:val="en-US" w:eastAsia="zh-CN"/>
        </w:rPr>
        <w:t>%，未达绩效目标设定值90%，比目标值低</w:t>
      </w:r>
      <w:r>
        <w:rPr>
          <w:rFonts w:hint="eastAsia" w:ascii="仿宋_GB2312" w:eastAsia="仿宋_GB2312" w:cs="仿宋_GB2312"/>
          <w:sz w:val="32"/>
          <w:szCs w:val="32"/>
          <w:shd w:val="clear" w:color="auto" w:fill="FFFFFF"/>
          <w:lang w:val="en-US" w:eastAsia="zh-CN"/>
        </w:rPr>
        <w:t>0.73</w:t>
      </w:r>
      <w:r>
        <w:rPr>
          <w:rFonts w:hint="eastAsia" w:ascii="仿宋_GB2312" w:hAnsi="Times New Roman" w:eastAsia="仿宋_GB2312" w:cs="仿宋_GB2312"/>
          <w:sz w:val="32"/>
          <w:szCs w:val="32"/>
          <w:shd w:val="clear" w:color="auto" w:fill="FFFFFF"/>
          <w:lang w:val="en-US" w:eastAsia="zh-CN"/>
        </w:rPr>
        <w:t>个百分点，主要原因是</w:t>
      </w:r>
      <w:r>
        <w:rPr>
          <w:rFonts w:hint="eastAsia" w:ascii="仿宋_GB2312" w:hAnsi="仿宋_GB2312" w:eastAsia="仿宋_GB2312" w:cs="仿宋_GB2312"/>
          <w:b w:val="0"/>
          <w:bCs/>
          <w:sz w:val="32"/>
          <w:szCs w:val="32"/>
          <w:lang w:val="en-US" w:eastAsia="zh-CN"/>
        </w:rPr>
        <w:t>2024年度我院受理案件增长较多，员额法官人数较少，因此结案率略低于设定目标</w:t>
      </w:r>
      <w:r>
        <w:rPr>
          <w:rFonts w:hint="eastAsia" w:ascii="仿宋_GB2312" w:hAnsi="Times New Roman" w:eastAsia="仿宋_GB2312" w:cs="仿宋_GB2312"/>
          <w:sz w:val="32"/>
          <w:szCs w:val="32"/>
          <w:shd w:val="clear" w:color="auto" w:fill="FFFFFF"/>
          <w:lang w:val="en-US" w:eastAsia="zh-CN"/>
        </w:rPr>
        <w:t>；二是</w:t>
      </w:r>
      <w:r>
        <w:rPr>
          <w:rFonts w:hint="eastAsia" w:ascii="仿宋_GB2312" w:hAnsi="仿宋_GB2312" w:eastAsia="仿宋_GB2312" w:cs="仿宋_GB2312"/>
          <w:kern w:val="0"/>
          <w:sz w:val="32"/>
          <w:szCs w:val="32"/>
        </w:rPr>
        <w:t>某些费用的预算编制与实际支出差异较大，</w:t>
      </w:r>
      <w:r>
        <w:rPr>
          <w:rFonts w:hint="eastAsia" w:ascii="仿宋_GB2312" w:hAnsi="仿宋_GB2312" w:eastAsia="仿宋_GB2312" w:cs="仿宋_GB2312"/>
          <w:kern w:val="0"/>
          <w:sz w:val="32"/>
          <w:szCs w:val="32"/>
          <w:lang w:eastAsia="zh-CN"/>
        </w:rPr>
        <w:t>执行过程中需进行经济分类的调剂，</w:t>
      </w:r>
      <w:r>
        <w:rPr>
          <w:rFonts w:hint="eastAsia" w:ascii="仿宋_GB2312" w:hAnsi="仿宋_GB2312" w:eastAsia="仿宋_GB2312" w:cs="仿宋_GB2312"/>
          <w:kern w:val="0"/>
          <w:sz w:val="32"/>
          <w:szCs w:val="32"/>
        </w:rPr>
        <w:t>如</w:t>
      </w:r>
      <w:r>
        <w:rPr>
          <w:rFonts w:hint="eastAsia" w:ascii="仿宋_GB2312" w:hAnsi="仿宋_GB2312" w:eastAsia="仿宋_GB2312" w:cs="仿宋_GB2312"/>
          <w:kern w:val="0"/>
          <w:sz w:val="32"/>
          <w:szCs w:val="32"/>
          <w:lang w:eastAsia="zh-CN"/>
        </w:rPr>
        <w:t>维修</w:t>
      </w:r>
      <w:r>
        <w:rPr>
          <w:rFonts w:hint="eastAsia" w:ascii="仿宋_GB2312" w:hAnsi="仿宋_GB2312" w:eastAsia="仿宋_GB2312" w:cs="仿宋_GB2312"/>
          <w:kern w:val="0"/>
          <w:sz w:val="32"/>
          <w:szCs w:val="32"/>
          <w:lang w:val="en-US" w:eastAsia="zh-CN"/>
        </w:rPr>
        <w:t>(护)</w:t>
      </w:r>
      <w:r>
        <w:rPr>
          <w:rFonts w:hint="eastAsia" w:ascii="仿宋_GB2312" w:hAnsi="仿宋_GB2312" w:eastAsia="仿宋_GB2312" w:cs="仿宋_GB2312"/>
          <w:kern w:val="0"/>
          <w:sz w:val="32"/>
          <w:szCs w:val="32"/>
        </w:rPr>
        <w:t>费</w:t>
      </w:r>
      <w:r>
        <w:rPr>
          <w:rFonts w:hint="eastAsia" w:ascii="仿宋_GB2312" w:hAnsi="仿宋_GB2312" w:eastAsia="仿宋_GB2312" w:cs="仿宋_GB2312"/>
          <w:kern w:val="0"/>
          <w:sz w:val="32"/>
          <w:szCs w:val="32"/>
          <w:lang w:eastAsia="zh-CN"/>
        </w:rPr>
        <w:t>、误餐费</w:t>
      </w:r>
      <w:r>
        <w:rPr>
          <w:rFonts w:hint="eastAsia" w:ascii="仿宋_GB2312" w:hAnsi="仿宋_GB2312" w:eastAsia="仿宋_GB2312" w:cs="仿宋_GB2312"/>
          <w:kern w:val="0"/>
          <w:sz w:val="32"/>
          <w:szCs w:val="32"/>
        </w:rPr>
        <w:t>等</w:t>
      </w:r>
      <w:r>
        <w:rPr>
          <w:rFonts w:hint="eastAsia" w:ascii="仿宋_GB2312" w:hAnsi="Times New Roman" w:eastAsia="仿宋_GB2312" w:cs="仿宋_GB2312"/>
          <w:sz w:val="32"/>
          <w:szCs w:val="32"/>
          <w:shd w:val="clear" w:color="auto" w:fill="FFFFFF"/>
        </w:rPr>
        <w:t>。</w:t>
      </w:r>
      <w:r>
        <w:rPr>
          <w:rFonts w:hint="eastAsia" w:ascii="仿宋_GB2312" w:hAnsi="Times New Roman" w:eastAsia="仿宋_GB2312" w:cs="仿宋_GB2312"/>
          <w:sz w:val="32"/>
          <w:szCs w:val="32"/>
          <w:shd w:val="clear" w:color="auto" w:fill="FFFFFF"/>
          <w:lang w:val="en-US" w:eastAsia="zh-CN"/>
        </w:rPr>
        <w:t>下一步改进措施：一是</w:t>
      </w:r>
      <w:r>
        <w:rPr>
          <w:rFonts w:hint="eastAsia" w:ascii="仿宋_GB2312" w:eastAsia="仿宋_GB2312" w:cs="仿宋_GB2312"/>
          <w:sz w:val="32"/>
          <w:szCs w:val="32"/>
          <w:shd w:val="clear" w:color="auto" w:fill="FFFFFF"/>
          <w:lang w:eastAsia="zh-CN"/>
        </w:rPr>
        <w:t>不断提升法官业务素质，提高审判质效，确保结案率达到既定目标</w:t>
      </w:r>
      <w:r>
        <w:rPr>
          <w:rFonts w:hint="eastAsia" w:ascii="仿宋_GB2312" w:hAnsi="仿宋_GB2312" w:eastAsia="仿宋_GB2312" w:cs="宋体"/>
          <w:sz w:val="32"/>
          <w:szCs w:val="32"/>
          <w:lang w:eastAsia="zh-CN"/>
        </w:rPr>
        <w:t>；二是</w:t>
      </w:r>
      <w:r>
        <w:rPr>
          <w:rFonts w:hint="eastAsia" w:ascii="仿宋_GB2312" w:hAnsi="仿宋_GB2312" w:eastAsia="仿宋_GB2312" w:cs="宋体"/>
          <w:sz w:val="32"/>
          <w:szCs w:val="32"/>
        </w:rPr>
        <w:t>争取根据实际情况，将各项细分经费测算得更加精准合理，减少经济分类的调剂，减少资金闲置和沉淀</w:t>
      </w:r>
      <w:r>
        <w:rPr>
          <w:rFonts w:hint="eastAsia" w:ascii="仿宋_GB2312" w:hAnsi="仿宋_GB2312" w:eastAsia="仿宋_GB2312" w:cs="宋体"/>
          <w:sz w:val="32"/>
          <w:szCs w:val="32"/>
          <w:lang w:eastAsia="zh-CN"/>
        </w:rPr>
        <w:t>。</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textAlignment w:val="auto"/>
        <w:rPr>
          <w:rFonts w:hint="eastAsia" w:ascii="仿宋_GB2312" w:eastAsia="仿宋_GB2312" w:cs="仿宋_GB2312"/>
          <w:sz w:val="32"/>
          <w:szCs w:val="32"/>
          <w:shd w:val="clear" w:color="auto" w:fill="FFFFFF"/>
          <w:lang w:eastAsia="zh-CN"/>
        </w:rPr>
      </w:pPr>
      <w:r>
        <w:rPr>
          <w:rFonts w:hint="eastAsia" w:ascii="仿宋_GB2312" w:hAnsi="仿宋" w:eastAsia="仿宋_GB2312"/>
          <w:color w:val="000000"/>
          <w:sz w:val="32"/>
          <w:szCs w:val="32"/>
          <w:lang w:eastAsia="zh-CN"/>
        </w:rPr>
        <w:t>聘用制书记员管理项目</w:t>
      </w:r>
      <w:r>
        <w:rPr>
          <w:rFonts w:hint="eastAsia" w:ascii="仿宋_GB2312" w:eastAsia="仿宋_GB2312" w:cs="仿宋_GB2312"/>
          <w:sz w:val="32"/>
          <w:szCs w:val="32"/>
          <w:shd w:val="clear" w:color="auto" w:fill="FFFFFF"/>
        </w:rPr>
        <w:t>绩效自评</w:t>
      </w:r>
      <w:r>
        <w:rPr>
          <w:rFonts w:hint="eastAsia" w:ascii="仿宋_GB2312" w:eastAsia="仿宋_GB2312" w:cs="仿宋_GB2312"/>
          <w:sz w:val="32"/>
          <w:szCs w:val="32"/>
          <w:shd w:val="clear" w:color="auto" w:fill="FFFFFF"/>
          <w:lang w:eastAsia="zh-CN"/>
        </w:rPr>
        <w:t>表：（附后）</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textAlignment w:val="auto"/>
        <w:rPr>
          <w:rFonts w:hint="eastAsia" w:ascii="仿宋_GB2312" w:eastAsia="仿宋_GB2312" w:cs="仿宋_GB2312"/>
          <w:sz w:val="32"/>
          <w:szCs w:val="32"/>
          <w:shd w:val="clear" w:color="auto" w:fill="FFFFFF"/>
          <w:lang w:eastAsia="zh-CN"/>
        </w:rPr>
      </w:pPr>
      <w:r>
        <w:rPr>
          <w:rFonts w:hint="eastAsia" w:ascii="仿宋_GB2312" w:hAnsi="仿宋" w:eastAsia="仿宋_GB2312"/>
          <w:color w:val="000000"/>
          <w:sz w:val="32"/>
          <w:szCs w:val="32"/>
          <w:lang w:eastAsia="zh-CN"/>
        </w:rPr>
        <w:t>聘用制书记员管理项目</w:t>
      </w:r>
      <w:r>
        <w:rPr>
          <w:rFonts w:hint="eastAsia" w:ascii="仿宋_GB2312" w:eastAsia="仿宋_GB2312" w:cs="仿宋_GB2312"/>
          <w:sz w:val="32"/>
          <w:szCs w:val="32"/>
          <w:shd w:val="clear" w:color="auto" w:fill="FFFFFF"/>
        </w:rPr>
        <w:t>绩效自评</w:t>
      </w:r>
      <w:r>
        <w:rPr>
          <w:rFonts w:hint="eastAsia" w:ascii="仿宋_GB2312" w:eastAsia="仿宋_GB2312" w:cs="仿宋_GB2312"/>
          <w:sz w:val="32"/>
          <w:szCs w:val="32"/>
          <w:shd w:val="clear" w:color="auto" w:fill="FFFFFF"/>
          <w:lang w:eastAsia="zh-CN"/>
        </w:rPr>
        <w:t>报告：</w:t>
      </w:r>
      <w:r>
        <w:rPr>
          <w:rFonts w:hint="eastAsia" w:ascii="仿宋_GB2312" w:eastAsia="仿宋_GB2312" w:cs="仿宋_GB2312"/>
          <w:sz w:val="32"/>
          <w:szCs w:val="32"/>
          <w:shd w:val="clear" w:color="auto" w:fill="FFFFFF"/>
        </w:rPr>
        <w:t>根据年初设定的绩效目标，项目绩效自评得分为</w:t>
      </w:r>
      <w:r>
        <w:rPr>
          <w:rFonts w:hint="eastAsia" w:ascii="仿宋_GB2312" w:eastAsia="仿宋_GB2312" w:cs="仿宋_GB2312"/>
          <w:sz w:val="32"/>
          <w:szCs w:val="32"/>
          <w:shd w:val="clear" w:color="auto" w:fill="FFFFFF"/>
          <w:lang w:val="en-US" w:eastAsia="zh-CN"/>
        </w:rPr>
        <w:t>99.76</w:t>
      </w:r>
      <w:r>
        <w:rPr>
          <w:rFonts w:hint="eastAsia" w:ascii="仿宋_GB2312" w:eastAsia="仿宋_GB2312" w:cs="仿宋_GB2312"/>
          <w:sz w:val="32"/>
          <w:szCs w:val="32"/>
          <w:shd w:val="clear" w:color="auto" w:fill="FFFFFF"/>
        </w:rPr>
        <w:t>分。全年预算数为</w:t>
      </w:r>
      <w:r>
        <w:rPr>
          <w:rFonts w:hint="eastAsia" w:ascii="仿宋_GB2312" w:eastAsia="仿宋_GB2312" w:cs="仿宋_GB2312"/>
          <w:sz w:val="32"/>
          <w:szCs w:val="32"/>
          <w:shd w:val="clear" w:color="auto" w:fill="FFFFFF"/>
          <w:lang w:val="en-US" w:eastAsia="zh-CN"/>
        </w:rPr>
        <w:t>79.5</w:t>
      </w:r>
      <w:r>
        <w:rPr>
          <w:rFonts w:hint="eastAsia" w:ascii="仿宋_GB2312" w:eastAsia="仿宋_GB2312" w:cs="仿宋_GB2312"/>
          <w:sz w:val="32"/>
          <w:szCs w:val="32"/>
          <w:shd w:val="clear" w:color="auto" w:fill="FFFFFF"/>
        </w:rPr>
        <w:t>万元，执行数为</w:t>
      </w:r>
      <w:r>
        <w:rPr>
          <w:rFonts w:hint="eastAsia" w:ascii="仿宋_GB2312" w:eastAsia="仿宋_GB2312" w:cs="仿宋_GB2312"/>
          <w:sz w:val="32"/>
          <w:szCs w:val="32"/>
          <w:shd w:val="clear" w:color="auto" w:fill="FFFFFF"/>
          <w:lang w:val="en-US" w:eastAsia="zh-CN"/>
        </w:rPr>
        <w:t>79.5</w:t>
      </w:r>
      <w:r>
        <w:rPr>
          <w:rFonts w:hint="eastAsia" w:ascii="仿宋_GB2312" w:eastAsia="仿宋_GB2312" w:cs="仿宋_GB2312"/>
          <w:sz w:val="32"/>
          <w:szCs w:val="32"/>
          <w:shd w:val="clear" w:color="auto" w:fill="FFFFFF"/>
        </w:rPr>
        <w:t>万元，完成预算的</w:t>
      </w:r>
      <w:r>
        <w:rPr>
          <w:rFonts w:hint="eastAsia" w:ascii="仿宋_GB2312" w:eastAsia="仿宋_GB2312" w:cs="仿宋_GB2312"/>
          <w:sz w:val="32"/>
          <w:szCs w:val="32"/>
          <w:shd w:val="clear" w:color="auto" w:fill="FFFFFF"/>
          <w:lang w:val="en-US" w:eastAsia="zh-CN"/>
        </w:rPr>
        <w:t>100</w:t>
      </w:r>
      <w:r>
        <w:rPr>
          <w:rFonts w:hint="eastAsia" w:ascii="仿宋_GB2312" w:eastAsia="仿宋_GB2312" w:cs="仿宋_GB2312"/>
          <w:sz w:val="32"/>
          <w:szCs w:val="32"/>
          <w:shd w:val="clear" w:color="auto" w:fill="FFFFFF"/>
          <w:lang w:val="en-US"/>
        </w:rPr>
        <w:t>%</w:t>
      </w:r>
      <w:r>
        <w:rPr>
          <w:rFonts w:hint="eastAsia" w:ascii="仿宋_GB2312" w:eastAsia="仿宋_GB2312" w:cs="仿宋_GB2312"/>
          <w:sz w:val="32"/>
          <w:szCs w:val="32"/>
          <w:shd w:val="clear" w:color="auto" w:fill="FFFFFF"/>
        </w:rPr>
        <w:t>。项目绩效目标完成情况：</w:t>
      </w:r>
      <w:r>
        <w:rPr>
          <w:rFonts w:hint="eastAsia" w:ascii="仿宋_GB2312" w:eastAsia="仿宋_GB2312" w:cs="仿宋_GB2312"/>
          <w:sz w:val="32"/>
          <w:szCs w:val="32"/>
          <w:shd w:val="clear" w:color="auto" w:fill="FFFFFF"/>
          <w:lang w:eastAsia="zh-CN"/>
        </w:rPr>
        <w:t>一是</w:t>
      </w:r>
      <w:r>
        <w:rPr>
          <w:rFonts w:hint="eastAsia" w:ascii="仿宋_GB2312" w:eastAsia="仿宋_GB2312" w:cs="仿宋_GB2312"/>
          <w:sz w:val="32"/>
          <w:szCs w:val="32"/>
          <w:shd w:val="clear" w:color="auto" w:fill="FFFFFF"/>
        </w:rPr>
        <w:t>充分保障了我院聘用制书记员的各项薪资福利及办公需求，推动聘用制书记员管理进一步规范</w:t>
      </w:r>
      <w:r>
        <w:rPr>
          <w:rFonts w:hint="eastAsia" w:ascii="仿宋_GB2312" w:eastAsia="仿宋_GB2312" w:cs="仿宋_GB2312"/>
          <w:sz w:val="32"/>
          <w:szCs w:val="32"/>
          <w:shd w:val="clear" w:color="auto" w:fill="FFFFFF"/>
          <w:lang w:eastAsia="zh-CN"/>
        </w:rPr>
        <w:t>；二是</w:t>
      </w:r>
      <w:r>
        <w:rPr>
          <w:rFonts w:hint="eastAsia" w:ascii="仿宋_GB2312" w:hAnsi="Times New Roman" w:eastAsia="仿宋_GB2312" w:cs="仿宋_GB2312"/>
          <w:sz w:val="32"/>
          <w:szCs w:val="32"/>
          <w:shd w:val="clear" w:color="auto" w:fill="FFFFFF"/>
        </w:rPr>
        <w:t>服务对象满意度9</w:t>
      </w:r>
      <w:r>
        <w:rPr>
          <w:rFonts w:hint="eastAsia" w:ascii="仿宋_GB2312" w:hAnsi="Times New Roman" w:eastAsia="仿宋_GB2312" w:cs="仿宋_GB2312"/>
          <w:sz w:val="32"/>
          <w:szCs w:val="32"/>
          <w:shd w:val="clear" w:color="auto" w:fill="FFFFFF"/>
          <w:lang w:val="en-US" w:eastAsia="zh-CN"/>
        </w:rPr>
        <w:t>0</w:t>
      </w:r>
      <w:r>
        <w:rPr>
          <w:rFonts w:hint="eastAsia" w:ascii="仿宋_GB2312" w:hAnsi="Times New Roman" w:eastAsia="仿宋_GB2312" w:cs="仿宋_GB2312"/>
          <w:sz w:val="32"/>
          <w:szCs w:val="32"/>
          <w:shd w:val="clear" w:color="auto" w:fill="FFFFFF"/>
        </w:rPr>
        <w:t>%</w:t>
      </w:r>
      <w:r>
        <w:rPr>
          <w:rFonts w:hint="eastAsia" w:ascii="仿宋_GB2312" w:hAnsi="Times New Roman" w:eastAsia="仿宋_GB2312" w:cs="仿宋_GB2312"/>
          <w:sz w:val="32"/>
          <w:szCs w:val="32"/>
          <w:shd w:val="clear" w:color="auto" w:fill="FFFFFF"/>
          <w:lang w:eastAsia="zh-CN"/>
        </w:rPr>
        <w:t>，</w:t>
      </w:r>
      <w:r>
        <w:rPr>
          <w:rFonts w:hint="eastAsia" w:ascii="仿宋_GB2312" w:eastAsia="仿宋_GB2312" w:cs="仿宋_GB2312"/>
          <w:sz w:val="32"/>
          <w:szCs w:val="32"/>
          <w:shd w:val="clear" w:color="auto" w:fill="FFFFFF"/>
          <w:lang w:eastAsia="zh-CN"/>
        </w:rPr>
        <w:t>协助法官</w:t>
      </w:r>
      <w:r>
        <w:rPr>
          <w:rFonts w:hint="eastAsia" w:ascii="仿宋_GB2312" w:hAnsi="Times New Roman" w:eastAsia="仿宋_GB2312" w:cs="仿宋_GB2312"/>
          <w:sz w:val="32"/>
          <w:szCs w:val="32"/>
          <w:shd w:val="clear" w:color="auto" w:fill="FFFFFF"/>
        </w:rPr>
        <w:t>高效、高质的完成案件审判等相关工作，提高了办案</w:t>
      </w:r>
      <w:r>
        <w:rPr>
          <w:rFonts w:ascii="仿宋_GB2312" w:hAnsi="仿宋_GB2312" w:eastAsia="仿宋_GB2312" w:cs="宋体"/>
          <w:sz w:val="32"/>
          <w:szCs w:val="32"/>
        </w:rPr>
        <w:t>效率和结案率，项目完成情况良好，综合评价等级为优</w:t>
      </w:r>
      <w:r>
        <w:rPr>
          <w:rFonts w:hint="eastAsia" w:ascii="仿宋_GB2312" w:hAnsi="仿宋_GB2312" w:eastAsia="仿宋_GB2312" w:cs="宋体"/>
          <w:sz w:val="32"/>
          <w:szCs w:val="32"/>
          <w:lang w:eastAsia="zh-CN"/>
        </w:rPr>
        <w:t>。</w:t>
      </w:r>
      <w:r>
        <w:rPr>
          <w:rFonts w:hint="eastAsia" w:ascii="仿宋_GB2312" w:hAnsi="Times New Roman" w:eastAsia="仿宋_GB2312" w:cs="仿宋_GB2312"/>
          <w:sz w:val="32"/>
          <w:szCs w:val="32"/>
          <w:shd w:val="clear" w:color="auto" w:fill="FFFFFF"/>
          <w:lang w:val="en-US" w:eastAsia="zh-CN"/>
        </w:rPr>
        <w:t>发现的主要问题及原因：效益指标中的结案率完成率为</w:t>
      </w:r>
      <w:r>
        <w:rPr>
          <w:rFonts w:hint="eastAsia" w:ascii="仿宋_GB2312" w:eastAsia="仿宋_GB2312" w:cs="仿宋_GB2312"/>
          <w:sz w:val="32"/>
          <w:szCs w:val="32"/>
          <w:shd w:val="clear" w:color="auto" w:fill="FFFFFF"/>
          <w:lang w:val="en-US" w:eastAsia="zh-CN"/>
        </w:rPr>
        <w:t>89.27</w:t>
      </w:r>
      <w:r>
        <w:rPr>
          <w:rFonts w:hint="eastAsia" w:ascii="仿宋_GB2312" w:hAnsi="Times New Roman" w:eastAsia="仿宋_GB2312" w:cs="仿宋_GB2312"/>
          <w:sz w:val="32"/>
          <w:szCs w:val="32"/>
          <w:shd w:val="clear" w:color="auto" w:fill="FFFFFF"/>
          <w:lang w:val="en-US" w:eastAsia="zh-CN"/>
        </w:rPr>
        <w:t>%，未达绩效目标设定值90%，比目标值低</w:t>
      </w:r>
      <w:r>
        <w:rPr>
          <w:rFonts w:hint="eastAsia" w:ascii="仿宋_GB2312" w:eastAsia="仿宋_GB2312" w:cs="仿宋_GB2312"/>
          <w:sz w:val="32"/>
          <w:szCs w:val="32"/>
          <w:shd w:val="clear" w:color="auto" w:fill="FFFFFF"/>
          <w:lang w:val="en-US" w:eastAsia="zh-CN"/>
        </w:rPr>
        <w:t>0.73</w:t>
      </w:r>
      <w:r>
        <w:rPr>
          <w:rFonts w:hint="eastAsia" w:ascii="仿宋_GB2312" w:hAnsi="Times New Roman" w:eastAsia="仿宋_GB2312" w:cs="仿宋_GB2312"/>
          <w:sz w:val="32"/>
          <w:szCs w:val="32"/>
          <w:shd w:val="clear" w:color="auto" w:fill="FFFFFF"/>
          <w:lang w:val="en-US" w:eastAsia="zh-CN"/>
        </w:rPr>
        <w:t>个百分点，主要原因是</w:t>
      </w:r>
      <w:r>
        <w:rPr>
          <w:rFonts w:hint="eastAsia" w:ascii="仿宋_GB2312" w:hAnsi="仿宋_GB2312" w:eastAsia="仿宋_GB2312" w:cs="仿宋_GB2312"/>
          <w:b w:val="0"/>
          <w:bCs/>
          <w:sz w:val="32"/>
          <w:szCs w:val="32"/>
          <w:lang w:val="en-US" w:eastAsia="zh-CN"/>
        </w:rPr>
        <w:t>2024年度我院受理案件增长较多，员额法官人数较少，因此结案率略低于设定目标。</w:t>
      </w:r>
      <w:r>
        <w:rPr>
          <w:rFonts w:hint="eastAsia" w:ascii="仿宋_GB2312" w:hAnsi="Times New Roman" w:eastAsia="仿宋_GB2312" w:cs="仿宋_GB2312"/>
          <w:sz w:val="32"/>
          <w:szCs w:val="32"/>
          <w:shd w:val="clear" w:color="auto" w:fill="FFFFFF"/>
          <w:lang w:val="en-US" w:eastAsia="zh-CN"/>
        </w:rPr>
        <w:t>下一步改进措施：</w:t>
      </w:r>
      <w:r>
        <w:rPr>
          <w:rFonts w:hint="eastAsia" w:ascii="仿宋_GB2312" w:eastAsia="仿宋_GB2312" w:cs="仿宋_GB2312"/>
          <w:sz w:val="32"/>
          <w:szCs w:val="32"/>
          <w:shd w:val="clear" w:color="auto" w:fill="FFFFFF"/>
          <w:lang w:eastAsia="zh-CN"/>
        </w:rPr>
        <w:t>不断提升</w:t>
      </w:r>
      <w:r>
        <w:rPr>
          <w:rFonts w:hint="eastAsia" w:ascii="仿宋_GB2312" w:hAnsi="仿宋" w:eastAsia="仿宋_GB2312"/>
          <w:color w:val="000000"/>
          <w:sz w:val="32"/>
          <w:szCs w:val="32"/>
          <w:lang w:eastAsia="zh-CN"/>
        </w:rPr>
        <w:t>聘用制书记员</w:t>
      </w:r>
      <w:r>
        <w:rPr>
          <w:rFonts w:hint="eastAsia" w:ascii="仿宋_GB2312" w:eastAsia="仿宋_GB2312" w:cs="仿宋_GB2312"/>
          <w:sz w:val="32"/>
          <w:szCs w:val="32"/>
          <w:shd w:val="clear" w:color="auto" w:fill="FFFFFF"/>
          <w:lang w:eastAsia="zh-CN"/>
        </w:rPr>
        <w:t>业务素质，全力协助法官提高案件审判质效，确保结案率达到既定目标。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（三）部门评价结果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宋体"/>
          <w:sz w:val="32"/>
          <w:szCs w:val="32"/>
          <w:lang w:val="en-US" w:eastAsia="zh-CN"/>
        </w:rPr>
      </w:pPr>
      <w:r>
        <w:rPr>
          <w:rFonts w:hint="eastAsia" w:ascii="仿宋_GB2312" w:hAnsi="Times New Roman" w:eastAsia="仿宋_GB2312" w:cs="仿宋_GB2312"/>
          <w:sz w:val="32"/>
          <w:szCs w:val="32"/>
          <w:shd w:val="clear" w:color="auto" w:fill="FFFFFF"/>
          <w:lang w:eastAsia="zh-CN"/>
        </w:rPr>
        <w:t>我院</w:t>
      </w:r>
      <w:r>
        <w:rPr>
          <w:rFonts w:hint="eastAsia" w:ascii="仿宋_GB2312" w:eastAsia="仿宋_GB2312" w:cs="仿宋_GB2312"/>
          <w:sz w:val="32"/>
          <w:szCs w:val="32"/>
          <w:shd w:val="clear" w:color="auto" w:fill="FFFFFF"/>
        </w:rPr>
        <w:t>组织对“</w:t>
      </w:r>
      <w:r>
        <w:rPr>
          <w:rFonts w:hint="eastAsia" w:ascii="仿宋_GB2312" w:hAnsi="仿宋_GB2312" w:eastAsia="仿宋_GB2312" w:cs="宋体"/>
          <w:sz w:val="32"/>
          <w:szCs w:val="32"/>
          <w:lang w:val="en-US" w:eastAsia="zh-CN"/>
        </w:rPr>
        <w:t>三亚市诉调对接服务中心</w:t>
      </w:r>
      <w:r>
        <w:rPr>
          <w:rFonts w:hint="eastAsia" w:ascii="仿宋_GB2312" w:eastAsia="仿宋_GB2312" w:cs="仿宋_GB2312"/>
          <w:sz w:val="32"/>
          <w:szCs w:val="32"/>
          <w:shd w:val="clear" w:color="auto" w:fill="FFFFFF"/>
        </w:rPr>
        <w:t>”项目开展了部门评价，</w:t>
      </w:r>
      <w:r>
        <w:rPr>
          <w:rFonts w:hint="eastAsia" w:ascii="仿宋_GB2312" w:eastAsia="仿宋_GB2312" w:cs="仿宋_GB2312"/>
          <w:sz w:val="32"/>
          <w:szCs w:val="32"/>
          <w:shd w:val="clear" w:color="auto" w:fill="FFFFFF"/>
          <w:lang w:eastAsia="zh-CN"/>
        </w:rPr>
        <w:t>形成了</w:t>
      </w:r>
      <w:r>
        <w:rPr>
          <w:rFonts w:hint="eastAsia" w:ascii="仿宋_GB2312" w:hAnsi="Times New Roman" w:eastAsia="仿宋_GB2312" w:cs="仿宋_GB2312"/>
          <w:sz w:val="32"/>
          <w:szCs w:val="32"/>
          <w:shd w:val="clear" w:color="auto" w:fill="FFFFFF"/>
          <w:lang w:eastAsia="zh-CN"/>
        </w:rPr>
        <w:t>《</w:t>
      </w:r>
      <w:r>
        <w:rPr>
          <w:rFonts w:hint="eastAsia" w:ascii="仿宋_GB2312" w:hAnsi="Times New Roman" w:eastAsia="仿宋_GB2312" w:cs="仿宋_GB2312"/>
          <w:sz w:val="32"/>
          <w:szCs w:val="32"/>
          <w:shd w:val="clear" w:color="auto" w:fill="FFFFFF"/>
          <w:lang w:val="en-US" w:eastAsia="zh-CN"/>
        </w:rPr>
        <w:t>海南省三亚市中级人民法院202</w:t>
      </w:r>
      <w:r>
        <w:rPr>
          <w:rFonts w:hint="eastAsia" w:ascii="仿宋_GB2312" w:eastAsia="仿宋_GB2312" w:cs="仿宋_GB2312"/>
          <w:sz w:val="32"/>
          <w:szCs w:val="32"/>
          <w:shd w:val="clear" w:color="auto" w:fill="FFFFFF"/>
          <w:lang w:val="en-US" w:eastAsia="zh-CN"/>
        </w:rPr>
        <w:t>4</w:t>
      </w:r>
      <w:r>
        <w:rPr>
          <w:rFonts w:hint="eastAsia" w:ascii="仿宋_GB2312" w:hAnsi="Times New Roman" w:eastAsia="仿宋_GB2312" w:cs="仿宋_GB2312"/>
          <w:sz w:val="32"/>
          <w:szCs w:val="32"/>
          <w:shd w:val="clear" w:color="auto" w:fill="FFFFFF"/>
          <w:lang w:val="en-US" w:eastAsia="zh-CN"/>
        </w:rPr>
        <w:t>年度三亚市诉调对接服务中心项目绩效评价报告</w:t>
      </w:r>
      <w:r>
        <w:rPr>
          <w:rFonts w:hint="eastAsia" w:ascii="仿宋_GB2312" w:hAnsi="Times New Roman" w:eastAsia="仿宋_GB2312" w:cs="仿宋_GB2312"/>
          <w:sz w:val="32"/>
          <w:szCs w:val="32"/>
          <w:shd w:val="clear" w:color="auto" w:fill="FFFFFF"/>
          <w:lang w:eastAsia="zh-CN"/>
        </w:rPr>
        <w:t>》。</w:t>
      </w:r>
      <w:r>
        <w:rPr>
          <w:rFonts w:hint="eastAsia" w:ascii="仿宋_GB2312" w:hAnsi="仿宋_GB2312" w:eastAsia="仿宋_GB2312" w:cs="宋体"/>
          <w:sz w:val="32"/>
          <w:szCs w:val="32"/>
          <w:lang w:val="en-US" w:eastAsia="zh-CN"/>
        </w:rPr>
        <w:t>该项目绩效评价综合得分98分，项目总体绩效等级为“优”。</w:t>
      </w:r>
      <w:r>
        <w:rPr>
          <w:rFonts w:hint="eastAsia" w:ascii="仿宋_GB2312" w:hAnsi="Times New Roman" w:eastAsia="仿宋_GB2312" w:cs="仿宋_GB2312"/>
          <w:sz w:val="32"/>
          <w:szCs w:val="32"/>
          <w:shd w:val="clear" w:color="auto" w:fill="FFFFFF"/>
          <w:lang w:val="en-US" w:eastAsia="zh-CN"/>
        </w:rPr>
        <w:t>绩效评价报告</w:t>
      </w:r>
      <w:r>
        <w:rPr>
          <w:rFonts w:hint="eastAsia" w:ascii="仿宋_GB2312" w:hAnsi="仿宋_GB2312" w:eastAsia="仿宋_GB2312" w:cs="宋体"/>
          <w:sz w:val="32"/>
          <w:szCs w:val="32"/>
          <w:lang w:val="en-US" w:eastAsia="zh-CN"/>
        </w:rPr>
        <w:t>详见附件。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（四）财政评价结果（如有）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十一、其他重要事项情况说明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sz w:val="32"/>
          <w:szCs w:val="32"/>
        </w:rPr>
      </w:pPr>
      <w:bookmarkStart w:id="95" w:name="_Toc15565_WPSOffice_Level2"/>
      <w:bookmarkStart w:id="96" w:name="_Toc23598_WPSOffice_Level2"/>
      <w:bookmarkStart w:id="97" w:name="_Toc18325_WPSOffice_Level2"/>
      <w:bookmarkStart w:id="98" w:name="_Toc15262_WPSOffice_Level2"/>
      <w:bookmarkStart w:id="99" w:name="_Toc32639_WPSOffice_Level2"/>
      <w:bookmarkStart w:id="100" w:name="_Toc5978_WPSOffice_Level2"/>
      <w:r>
        <w:rPr>
          <w:rFonts w:hint="eastAsia" w:ascii="楷体" w:hAnsi="楷体" w:eastAsia="楷体" w:cs="楷体"/>
          <w:bCs/>
          <w:sz w:val="32"/>
          <w:szCs w:val="32"/>
        </w:rPr>
        <w:t>（一）机关运行经费支出情况</w:t>
      </w:r>
      <w:bookmarkEnd w:id="95"/>
      <w:bookmarkEnd w:id="96"/>
      <w:bookmarkEnd w:id="97"/>
      <w:bookmarkEnd w:id="98"/>
      <w:bookmarkEnd w:id="99"/>
      <w:bookmarkEnd w:id="10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ascii="仿宋_GB2312" w:hAnsi="仿宋_GB2312" w:eastAsia="仿宋_GB2312" w:cs="仿宋_GB2312"/>
          <w:color w:val="auto"/>
          <w:kern w:val="1"/>
          <w:sz w:val="32"/>
          <w:szCs w:val="32"/>
        </w:rPr>
        <w:t>海南省三亚市中级人民法院</w:t>
      </w:r>
      <w:r>
        <w:rPr>
          <w:rFonts w:hint="eastAsia" w:ascii="仿宋_GB2312" w:hAnsi="ˎ̥" w:eastAsia="仿宋_GB2312"/>
          <w:color w:val="auto"/>
          <w:sz w:val="32"/>
          <w:szCs w:val="32"/>
        </w:rPr>
        <w:t>机关运行经费</w:t>
      </w:r>
      <w:r>
        <w:rPr>
          <w:rFonts w:hint="eastAsia" w:ascii="仿宋_GB2312" w:hAnsi="ˎ̥" w:eastAsia="仿宋_GB2312"/>
          <w:color w:val="auto"/>
          <w:sz w:val="32"/>
          <w:szCs w:val="32"/>
          <w:lang w:val="en-US" w:eastAsia="zh-CN"/>
        </w:rPr>
        <w:t>962.26</w:t>
      </w:r>
      <w:r>
        <w:rPr>
          <w:rFonts w:hint="eastAsia" w:ascii="仿宋_GB2312" w:hAnsi="ˎ̥" w:eastAsia="仿宋_GB2312"/>
          <w:color w:val="auto"/>
          <w:sz w:val="32"/>
          <w:szCs w:val="32"/>
        </w:rPr>
        <w:t>万元，比年初预算</w:t>
      </w:r>
      <w:r>
        <w:rPr>
          <w:rFonts w:hint="eastAsia" w:ascii="仿宋_GB2312" w:hAnsi="ˎ̥" w:eastAsia="仿宋_GB2312"/>
          <w:color w:val="auto"/>
          <w:sz w:val="32"/>
          <w:szCs w:val="32"/>
          <w:lang w:eastAsia="zh-CN"/>
        </w:rPr>
        <w:t>减少</w:t>
      </w:r>
      <w:r>
        <w:rPr>
          <w:rFonts w:hint="eastAsia" w:ascii="仿宋_GB2312" w:hAnsi="ˎ̥" w:eastAsia="仿宋_GB2312"/>
          <w:color w:val="auto"/>
          <w:sz w:val="32"/>
          <w:szCs w:val="32"/>
          <w:lang w:val="en-US" w:eastAsia="zh-CN"/>
        </w:rPr>
        <w:t>19.1</w:t>
      </w:r>
      <w:r>
        <w:rPr>
          <w:rFonts w:hint="eastAsia" w:ascii="仿宋_GB2312" w:hAnsi="ˎ̥" w:eastAsia="仿宋_GB2312"/>
          <w:color w:val="auto"/>
          <w:sz w:val="32"/>
          <w:szCs w:val="32"/>
        </w:rPr>
        <w:t>万元，</w:t>
      </w:r>
      <w:r>
        <w:rPr>
          <w:rFonts w:hint="eastAsia" w:ascii="仿宋_GB2312" w:hAnsi="ˎ̥" w:eastAsia="仿宋_GB2312"/>
          <w:color w:val="auto"/>
          <w:sz w:val="32"/>
          <w:szCs w:val="32"/>
          <w:lang w:val="en-US" w:eastAsia="zh-CN"/>
        </w:rPr>
        <w:t>完成预算的98.05</w:t>
      </w:r>
      <w:r>
        <w:rPr>
          <w:rFonts w:hint="eastAsia" w:ascii="仿宋_GB2312" w:hAnsi="ˎ̥" w:eastAsia="仿宋_GB2312"/>
          <w:color w:val="auto"/>
          <w:sz w:val="32"/>
          <w:szCs w:val="32"/>
        </w:rPr>
        <w:t>%</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与2023年度相比，机关运行经费</w:t>
      </w:r>
      <w:r>
        <w:rPr>
          <w:rFonts w:hint="eastAsia" w:ascii="仿宋_GB2312" w:hAnsi="ˎ̥" w:eastAsia="仿宋_GB2312"/>
          <w:sz w:val="32"/>
          <w:szCs w:val="32"/>
        </w:rPr>
        <w:t>增加</w:t>
      </w:r>
      <w:r>
        <w:rPr>
          <w:rFonts w:hint="eastAsia" w:ascii="仿宋_GB2312" w:hAnsi="ˎ̥" w:eastAsia="仿宋_GB2312"/>
          <w:sz w:val="32"/>
          <w:szCs w:val="32"/>
          <w:lang w:val="en-US" w:eastAsia="zh-CN"/>
        </w:rPr>
        <w:t>17.32</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增长1.83%。</w:t>
      </w:r>
      <w:r>
        <w:rPr>
          <w:rFonts w:hint="eastAsia" w:ascii="仿宋_GB2312" w:hAnsi="ˎ̥" w:eastAsia="仿宋_GB2312"/>
          <w:sz w:val="32"/>
          <w:szCs w:val="32"/>
        </w:rPr>
        <w:t>主要原因是：</w:t>
      </w:r>
      <w:r>
        <w:rPr>
          <w:rFonts w:hint="eastAsia" w:ascii="仿宋_GB2312" w:hAnsi="ˎ̥" w:eastAsia="仿宋_GB2312"/>
          <w:sz w:val="32"/>
          <w:szCs w:val="32"/>
          <w:lang w:eastAsia="zh-CN"/>
        </w:rPr>
        <w:t>食堂管理等委托业务类</w:t>
      </w:r>
      <w:r>
        <w:rPr>
          <w:rFonts w:hint="eastAsia" w:ascii="仿宋_GB2312" w:hAnsi="ˎ̥" w:eastAsia="仿宋_GB2312"/>
          <w:sz w:val="32"/>
          <w:szCs w:val="32"/>
          <w:lang w:bidi="ar"/>
        </w:rPr>
        <w:t>经费</w:t>
      </w:r>
      <w:r>
        <w:rPr>
          <w:rFonts w:hint="eastAsia" w:ascii="仿宋_GB2312" w:hAnsi="ˎ̥" w:eastAsia="仿宋_GB2312"/>
          <w:sz w:val="32"/>
          <w:szCs w:val="32"/>
          <w:lang w:eastAsia="zh-CN" w:bidi="ar"/>
        </w:rPr>
        <w:t>有所</w:t>
      </w:r>
      <w:r>
        <w:rPr>
          <w:rFonts w:hint="eastAsia" w:ascii="仿宋_GB2312" w:hAnsi="ˎ̥" w:eastAsia="仿宋_GB2312"/>
          <w:sz w:val="32"/>
          <w:szCs w:val="32"/>
          <w:lang w:bidi="ar"/>
        </w:rPr>
        <w:t>增加</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sz w:val="32"/>
          <w:szCs w:val="32"/>
        </w:rPr>
      </w:pPr>
      <w:bookmarkStart w:id="101" w:name="_Toc13084_WPSOffice_Level2"/>
      <w:bookmarkStart w:id="102" w:name="_Toc3131_WPSOffice_Level2"/>
      <w:bookmarkStart w:id="103" w:name="_Toc25333_WPSOffice_Level2"/>
      <w:bookmarkStart w:id="104" w:name="_Toc30383_WPSOffice_Level2"/>
      <w:bookmarkStart w:id="105" w:name="_Toc23966_WPSOffice_Level2"/>
      <w:bookmarkStart w:id="106" w:name="_Toc32689_WPSOffice_Level2"/>
      <w:r>
        <w:rPr>
          <w:rFonts w:hint="eastAsia" w:ascii="楷体" w:hAnsi="楷体" w:eastAsia="楷体" w:cs="楷体"/>
          <w:bCs/>
          <w:sz w:val="32"/>
          <w:szCs w:val="32"/>
        </w:rPr>
        <w:t>（二）政府采购支出情况</w:t>
      </w:r>
      <w:bookmarkEnd w:id="101"/>
      <w:bookmarkEnd w:id="102"/>
      <w:bookmarkEnd w:id="103"/>
      <w:bookmarkEnd w:id="104"/>
      <w:bookmarkEnd w:id="105"/>
      <w:bookmarkEnd w:id="10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ˎ̥" w:eastAsia="仿宋_GB2312"/>
          <w:color w:val="auto"/>
          <w:sz w:val="32"/>
          <w:szCs w:val="32"/>
        </w:rPr>
      </w:pPr>
      <w:r>
        <w:rPr>
          <w:rFonts w:hint="default" w:ascii="仿宋_GB2312" w:hAnsi="ˎ̥" w:eastAsia="仿宋_GB2312"/>
          <w:color w:val="auto"/>
          <w:sz w:val="32"/>
          <w:szCs w:val="32"/>
          <w:lang w:val="en-US"/>
        </w:rPr>
        <w:t>2024</w:t>
      </w:r>
      <w:r>
        <w:rPr>
          <w:rFonts w:hint="eastAsia" w:ascii="仿宋_GB2312" w:hAnsi="ˎ̥" w:eastAsia="仿宋_GB2312"/>
          <w:color w:val="auto"/>
          <w:sz w:val="32"/>
          <w:szCs w:val="32"/>
        </w:rPr>
        <w:t>年度</w:t>
      </w:r>
      <w:r>
        <w:rPr>
          <w:rFonts w:ascii="仿宋_GB2312" w:hAnsi="仿宋_GB2312" w:eastAsia="仿宋_GB2312" w:cs="仿宋_GB2312"/>
          <w:color w:val="auto"/>
          <w:kern w:val="1"/>
          <w:sz w:val="32"/>
          <w:szCs w:val="32"/>
        </w:rPr>
        <w:t>海南省三亚市中级人民法院</w:t>
      </w:r>
      <w:r>
        <w:rPr>
          <w:rFonts w:hint="eastAsia" w:ascii="仿宋_GB2312" w:hAnsi="ˎ̥" w:eastAsia="仿宋_GB2312"/>
          <w:color w:val="auto"/>
          <w:sz w:val="32"/>
          <w:szCs w:val="32"/>
        </w:rPr>
        <w:t>政府采购支出总额</w:t>
      </w:r>
      <w:r>
        <w:rPr>
          <w:rFonts w:hint="eastAsia" w:ascii="仿宋_GB2312" w:hAnsi="ˎ̥" w:eastAsia="仿宋_GB2312"/>
          <w:color w:val="auto"/>
          <w:sz w:val="32"/>
          <w:szCs w:val="32"/>
          <w:lang w:val="en-US" w:eastAsia="zh-CN"/>
        </w:rPr>
        <w:t>570</w:t>
      </w:r>
      <w:r>
        <w:rPr>
          <w:rFonts w:hint="eastAsia" w:ascii="仿宋_GB2312" w:hAnsi="ˎ̥" w:eastAsia="仿宋_GB2312"/>
          <w:color w:val="auto"/>
          <w:sz w:val="32"/>
          <w:szCs w:val="32"/>
        </w:rPr>
        <w:t>万元，其中：政府采购货物支出</w:t>
      </w:r>
      <w:r>
        <w:rPr>
          <w:rFonts w:hint="eastAsia" w:ascii="仿宋_GB2312" w:hAnsi="ˎ̥" w:eastAsia="仿宋_GB2312"/>
          <w:color w:val="auto"/>
          <w:sz w:val="32"/>
          <w:szCs w:val="32"/>
          <w:lang w:val="en-US" w:eastAsia="zh-CN"/>
        </w:rPr>
        <w:t>354</w:t>
      </w:r>
      <w:r>
        <w:rPr>
          <w:rFonts w:hint="eastAsia" w:ascii="仿宋_GB2312" w:hAnsi="ˎ̥" w:eastAsia="仿宋_GB2312"/>
          <w:color w:val="auto"/>
          <w:sz w:val="32"/>
          <w:szCs w:val="32"/>
        </w:rPr>
        <w:t>万元、政府采购工程支出</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万元、政府采购服务支出</w:t>
      </w:r>
      <w:r>
        <w:rPr>
          <w:rFonts w:hint="eastAsia" w:ascii="仿宋_GB2312" w:hAnsi="ˎ̥" w:eastAsia="仿宋_GB2312"/>
          <w:color w:val="auto"/>
          <w:sz w:val="32"/>
          <w:szCs w:val="32"/>
          <w:lang w:val="en-US" w:eastAsia="zh-CN"/>
        </w:rPr>
        <w:t>216</w:t>
      </w:r>
      <w:r>
        <w:rPr>
          <w:rFonts w:hint="eastAsia" w:ascii="仿宋_GB2312" w:hAnsi="ˎ̥" w:eastAsia="仿宋_GB2312"/>
          <w:color w:val="auto"/>
          <w:sz w:val="32"/>
          <w:szCs w:val="32"/>
        </w:rPr>
        <w:t>万元。授予中小企业合同金额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万元，占政府采购支出总额的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%，其中：授予小微企业合同金额</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万元，占</w:t>
      </w:r>
      <w:r>
        <w:rPr>
          <w:rFonts w:hint="eastAsia" w:ascii="仿宋_GB2312" w:hAnsi="仿宋_GB2312" w:eastAsia="仿宋_GB2312" w:cs="仿宋_GB2312"/>
          <w:color w:val="auto"/>
          <w:kern w:val="0"/>
          <w:sz w:val="32"/>
          <w:szCs w:val="32"/>
          <w:lang w:bidi="ar"/>
        </w:rPr>
        <w:t>授予中小企业合同金额</w:t>
      </w:r>
      <w:r>
        <w:rPr>
          <w:rFonts w:hint="eastAsia" w:ascii="仿宋_GB2312" w:hAnsi="仿宋_GB2312" w:eastAsia="仿宋_GB2312" w:cs="仿宋_GB2312"/>
          <w:color w:val="auto"/>
          <w:sz w:val="32"/>
          <w:szCs w:val="32"/>
        </w:rPr>
        <w:t>的</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sz w:val="32"/>
          <w:szCs w:val="32"/>
        </w:rPr>
      </w:pPr>
      <w:bookmarkStart w:id="107" w:name="_Toc6016_WPSOffice_Level2"/>
      <w:bookmarkStart w:id="108" w:name="_Toc527_WPSOffice_Level2"/>
      <w:bookmarkStart w:id="109" w:name="_Toc19989_WPSOffice_Level2"/>
      <w:bookmarkStart w:id="110" w:name="_Toc29584_WPSOffice_Level2"/>
      <w:bookmarkStart w:id="111" w:name="_Toc10902_WPSOffice_Level2"/>
      <w:bookmarkStart w:id="112" w:name="_Toc15129_WPSOffice_Level2"/>
      <w:r>
        <w:rPr>
          <w:rFonts w:hint="eastAsia" w:ascii="楷体" w:hAnsi="楷体" w:eastAsia="楷体" w:cs="楷体"/>
          <w:bCs/>
          <w:sz w:val="32"/>
          <w:szCs w:val="32"/>
        </w:rPr>
        <w:t>（三）国有资产占用情况</w:t>
      </w:r>
      <w:bookmarkEnd w:id="107"/>
      <w:bookmarkEnd w:id="108"/>
      <w:bookmarkEnd w:id="109"/>
      <w:bookmarkEnd w:id="110"/>
      <w:bookmarkEnd w:id="111"/>
      <w:bookmarkEnd w:id="11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bCs/>
          <w:sz w:val="32"/>
          <w:szCs w:val="32"/>
        </w:rPr>
        <w:t>截至</w:t>
      </w:r>
      <w:r>
        <w:rPr>
          <w:rFonts w:hint="default" w:ascii="仿宋_GB2312" w:hAnsi="ˎ̥" w:eastAsia="仿宋_GB2312"/>
          <w:bCs/>
          <w:sz w:val="32"/>
          <w:szCs w:val="32"/>
          <w:lang w:val="en-US"/>
        </w:rPr>
        <w:t>2024</w:t>
      </w:r>
      <w:r>
        <w:rPr>
          <w:rFonts w:hint="eastAsia" w:ascii="仿宋_GB2312" w:hAnsi="ˎ̥" w:eastAsia="仿宋_GB2312"/>
          <w:bCs/>
          <w:sz w:val="32"/>
          <w:szCs w:val="32"/>
        </w:rPr>
        <w:t>年12月31日，本部门拥有</w:t>
      </w:r>
      <w:r>
        <w:rPr>
          <w:rFonts w:hint="eastAsia" w:ascii="仿宋_GB2312" w:hAnsi="ˎ̥" w:eastAsia="仿宋_GB2312"/>
          <w:sz w:val="32"/>
          <w:szCs w:val="32"/>
        </w:rPr>
        <w:t>房屋面</w:t>
      </w:r>
      <w:r>
        <w:rPr>
          <w:rFonts w:hint="eastAsia" w:ascii="仿宋_GB2312" w:hAnsi="ˎ̥" w:eastAsia="仿宋_GB2312"/>
          <w:color w:val="auto"/>
          <w:sz w:val="32"/>
          <w:szCs w:val="32"/>
        </w:rPr>
        <w:t>积</w:t>
      </w:r>
      <w:r>
        <w:rPr>
          <w:rFonts w:hint="eastAsia" w:ascii="仿宋_GB2312" w:hAnsi="ˎ̥" w:eastAsia="仿宋_GB2312"/>
          <w:color w:val="auto"/>
          <w:sz w:val="32"/>
          <w:szCs w:val="32"/>
          <w:lang w:val="en-US" w:eastAsia="zh-CN"/>
        </w:rPr>
        <w:t>4819</w:t>
      </w:r>
      <w:r>
        <w:rPr>
          <w:rFonts w:hint="eastAsia" w:ascii="仿宋_GB2312" w:hAnsi="ˎ̥" w:eastAsia="仿宋_GB2312"/>
          <w:sz w:val="32"/>
          <w:szCs w:val="32"/>
        </w:rPr>
        <w:t>平方米</w:t>
      </w:r>
      <w:r>
        <w:rPr>
          <w:rFonts w:hint="eastAsia" w:ascii="仿宋_GB2312" w:hAnsi="ˎ̥"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ˎ̥" w:eastAsia="仿宋_GB2312"/>
          <w:sz w:val="32"/>
          <w:szCs w:val="32"/>
          <w:lang w:val="en-US" w:eastAsia="zh-CN"/>
        </w:rPr>
      </w:pPr>
      <w:r>
        <w:rPr>
          <w:rFonts w:hint="eastAsia" w:ascii="仿宋_GB2312" w:hAnsi="ˎ̥" w:eastAsia="仿宋_GB2312"/>
          <w:color w:val="auto"/>
          <w:sz w:val="32"/>
          <w:szCs w:val="32"/>
        </w:rPr>
        <w:t>本部门共有车辆</w:t>
      </w:r>
      <w:r>
        <w:rPr>
          <w:rFonts w:hint="eastAsia" w:ascii="仿宋_GB2312" w:hAnsi="ˎ̥" w:eastAsia="仿宋_GB2312"/>
          <w:color w:val="auto"/>
          <w:sz w:val="32"/>
          <w:szCs w:val="32"/>
          <w:lang w:val="en-US" w:eastAsia="zh-CN"/>
        </w:rPr>
        <w:t>17</w:t>
      </w:r>
      <w:r>
        <w:rPr>
          <w:rFonts w:hint="eastAsia" w:ascii="仿宋_GB2312" w:hAnsi="ˎ̥" w:eastAsia="仿宋_GB2312"/>
          <w:color w:val="auto"/>
          <w:sz w:val="32"/>
          <w:szCs w:val="32"/>
        </w:rPr>
        <w:t>辆，其中，副部（省）级及以上领导用车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辆、主要负责人用车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辆、机要通信用车</w:t>
      </w:r>
      <w:r>
        <w:rPr>
          <w:rFonts w:hint="eastAsia" w:ascii="仿宋_GB2312" w:hAnsi="ˎ̥" w:eastAsia="仿宋_GB2312"/>
          <w:color w:val="auto"/>
          <w:sz w:val="32"/>
          <w:szCs w:val="32"/>
          <w:lang w:val="en-US" w:eastAsia="zh-CN"/>
        </w:rPr>
        <w:t>4</w:t>
      </w:r>
      <w:r>
        <w:rPr>
          <w:rFonts w:hint="eastAsia" w:ascii="仿宋_GB2312" w:hAnsi="ˎ̥" w:eastAsia="仿宋_GB2312"/>
          <w:color w:val="auto"/>
          <w:sz w:val="32"/>
          <w:szCs w:val="32"/>
        </w:rPr>
        <w:t>辆、应急保障用车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辆、执法执勤用车</w:t>
      </w:r>
      <w:r>
        <w:rPr>
          <w:rFonts w:hint="eastAsia" w:ascii="仿宋_GB2312" w:hAnsi="ˎ̥" w:eastAsia="仿宋_GB2312"/>
          <w:color w:val="auto"/>
          <w:sz w:val="32"/>
          <w:szCs w:val="32"/>
          <w:lang w:val="en-US" w:eastAsia="zh-CN"/>
        </w:rPr>
        <w:t>10</w:t>
      </w:r>
      <w:r>
        <w:rPr>
          <w:rFonts w:hint="eastAsia" w:ascii="仿宋_GB2312" w:hAnsi="ˎ̥" w:eastAsia="仿宋_GB2312"/>
          <w:color w:val="auto"/>
          <w:sz w:val="32"/>
          <w:szCs w:val="32"/>
        </w:rPr>
        <w:t>辆、特种专业技术用车</w:t>
      </w:r>
      <w:r>
        <w:rPr>
          <w:rFonts w:hint="eastAsia" w:ascii="仿宋_GB2312" w:hAnsi="ˎ̥" w:eastAsia="仿宋_GB2312"/>
          <w:color w:val="auto"/>
          <w:sz w:val="32"/>
          <w:szCs w:val="32"/>
          <w:lang w:val="en-US" w:eastAsia="zh-CN"/>
        </w:rPr>
        <w:t>3</w:t>
      </w:r>
      <w:r>
        <w:rPr>
          <w:rFonts w:hint="eastAsia" w:ascii="仿宋_GB2312" w:hAnsi="ˎ̥" w:eastAsia="仿宋_GB2312"/>
          <w:color w:val="auto"/>
          <w:sz w:val="32"/>
          <w:szCs w:val="32"/>
        </w:rPr>
        <w:t>辆、离退休干部服务用车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辆、其他用车</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辆。</w:t>
      </w:r>
      <w:r>
        <w:rPr>
          <w:rFonts w:hint="eastAsia" w:ascii="仿宋_GB2312" w:hAnsi="ˎ̥" w:eastAsia="仿宋_GB2312"/>
          <w:color w:val="auto"/>
          <w:sz w:val="32"/>
          <w:szCs w:val="32"/>
          <w:lang w:val="en-US" w:eastAsia="zh-CN"/>
        </w:rPr>
        <w:t xml:space="preserve">    </w:t>
      </w:r>
      <w:r>
        <w:rPr>
          <w:rFonts w:hint="eastAsia" w:ascii="仿宋_GB2312" w:hAnsi="ˎ̥"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单价100万元（含）以上设备（不含车辆）</w:t>
      </w:r>
      <w:r>
        <w:rPr>
          <w:rFonts w:hint="eastAsia" w:ascii="仿宋_GB2312" w:hAnsi="ˎ̥" w:eastAsia="仿宋_GB2312"/>
          <w:color w:val="auto"/>
          <w:sz w:val="32"/>
          <w:szCs w:val="32"/>
          <w:lang w:val="en-US" w:eastAsia="zh-CN"/>
        </w:rPr>
        <w:t>2</w:t>
      </w:r>
      <w:r>
        <w:rPr>
          <w:rFonts w:hint="eastAsia" w:ascii="仿宋_GB2312" w:hAnsi="ˎ̥" w:eastAsia="仿宋_GB2312"/>
          <w:sz w:val="32"/>
          <w:szCs w:val="32"/>
        </w:rPr>
        <w:t>台（套）。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ˎ̥" w:eastAsia="黑体"/>
          <w:sz w:val="32"/>
          <w:szCs w:val="32"/>
        </w:rPr>
      </w:pPr>
      <w:bookmarkStart w:id="113" w:name="_Toc8808_WPSOffice_Level1"/>
      <w:bookmarkStart w:id="114" w:name="_Toc17580_WPSOffice_Level1"/>
      <w:bookmarkStart w:id="115" w:name="_Toc4398_WPSOffice_Level1"/>
      <w:bookmarkStart w:id="116" w:name="_Toc15425_WPSOffice_Level1"/>
      <w:bookmarkStart w:id="117" w:name="_Toc8874_WPSOffice_Level1"/>
      <w:bookmarkStart w:id="118" w:name="_Toc11039_WPSOffice_Level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ˎ̥" w:eastAsia="黑体"/>
          <w:sz w:val="32"/>
          <w:szCs w:val="32"/>
        </w:rPr>
      </w:pPr>
      <w:r>
        <w:rPr>
          <w:rFonts w:hint="eastAsia" w:ascii="黑体" w:hAnsi="ˎ̥" w:eastAsia="黑体"/>
          <w:sz w:val="32"/>
          <w:szCs w:val="32"/>
        </w:rPr>
        <w:t>第四部分  名词解释</w:t>
      </w:r>
      <w:bookmarkEnd w:id="113"/>
      <w:bookmarkEnd w:id="114"/>
      <w:bookmarkEnd w:id="115"/>
      <w:bookmarkEnd w:id="116"/>
      <w:bookmarkEnd w:id="117"/>
      <w:bookmarkEnd w:id="118"/>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ˎ̥" w:eastAsia="黑体"/>
          <w:sz w:val="32"/>
          <w:szCs w:val="32"/>
        </w:rPr>
      </w:pP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财政拨款收入：指同级政府财政部门当年拨付的各类财政拨款。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九、结余分配：指事业单位缴纳企业所得税以及从非财政拨款结余或经营结余中提取各类结余的情况。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sz w:val="32"/>
          <w:szCs w:val="32"/>
        </w:rPr>
      </w:pPr>
      <w:r>
        <w:rPr>
          <w:rFonts w:hint="eastAsia" w:ascii="仿宋_GB2312" w:hAnsi="ˎ̥" w:eastAsia="仿宋_GB2312"/>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ˎ̥" w:eastAsia="仿宋_GB2312"/>
          <w:sz w:val="32"/>
          <w:szCs w:val="32"/>
        </w:rPr>
      </w:pPr>
      <w:r>
        <w:rPr>
          <w:rFonts w:hint="eastAsia" w:ascii="仿宋_GB2312" w:hAnsi="ˎ̥" w:eastAsia="仿宋_GB2312"/>
          <w:sz w:val="32"/>
          <w:szCs w:val="32"/>
        </w:rPr>
        <w:t>十六、</w:t>
      </w:r>
      <w:r>
        <w:rPr>
          <w:rFonts w:ascii="仿宋_GB2312" w:hAnsi="ˎ̥" w:eastAsia="仿宋_GB2312"/>
          <w:sz w:val="32"/>
          <w:szCs w:val="32"/>
        </w:rPr>
        <w:t>支出功能分类：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ˎ̥" w:eastAsia="仿宋_GB2312"/>
          <w:sz w:val="32"/>
          <w:szCs w:val="32"/>
        </w:rPr>
      </w:pPr>
      <w:r>
        <w:rPr>
          <w:rFonts w:hint="eastAsia" w:ascii="仿宋_GB2312" w:hAnsi="仿宋_GB2312" w:eastAsia="仿宋_GB2312" w:cs="仿宋_GB2312"/>
          <w:kern w:val="1"/>
          <w:sz w:val="32"/>
          <w:szCs w:val="32"/>
        </w:rPr>
        <w:t>公共安全支出（类）</w:t>
      </w:r>
      <w:r>
        <w:rPr>
          <w:rFonts w:hint="eastAsia" w:ascii="仿宋_GB2312" w:hAnsi="仿宋_GB2312" w:eastAsia="仿宋_GB2312" w:cs="仿宋_GB2312"/>
          <w:sz w:val="32"/>
          <w:szCs w:val="30"/>
        </w:rPr>
        <w:t>法院（款）行政运行（项）：指人民法院用于保障机构正常运行、开展日常工作的基本支出</w:t>
      </w:r>
      <w:r>
        <w:rPr>
          <w:rFonts w:hint="eastAsia" w:ascii="仿宋_GB2312" w:hAnsi="ˎ̥"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sz w:val="32"/>
          <w:szCs w:val="32"/>
          <w:lang w:eastAsia="zh-CN"/>
        </w:rPr>
      </w:pPr>
      <w:r>
        <w:rPr>
          <w:rFonts w:hint="eastAsia" w:ascii="仿宋_GB2312" w:hAnsi="仿宋_GB2312" w:eastAsia="仿宋_GB2312" w:cs="仿宋_GB2312"/>
          <w:kern w:val="1"/>
          <w:sz w:val="32"/>
          <w:szCs w:val="32"/>
        </w:rPr>
        <w:t>公共安全支出（类）</w:t>
      </w:r>
      <w:r>
        <w:rPr>
          <w:rFonts w:hint="eastAsia" w:ascii="仿宋_GB2312" w:hAnsi="仿宋_GB2312" w:eastAsia="仿宋_GB2312" w:cs="仿宋_GB2312"/>
          <w:sz w:val="32"/>
          <w:szCs w:val="30"/>
        </w:rPr>
        <w:t>法院（款）案件审判（项）：指反映人民法院对刑事、民事、行政、涉外等案件审判活动的支出</w:t>
      </w:r>
      <w:r>
        <w:rPr>
          <w:rFonts w:hint="eastAsia" w:ascii="仿宋_GB2312" w:hAnsi="ˎ̥"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kern w:val="1"/>
          <w:sz w:val="32"/>
          <w:szCs w:val="32"/>
        </w:rPr>
        <w:t>公共安全支出（类）</w:t>
      </w:r>
      <w:r>
        <w:rPr>
          <w:rFonts w:hint="eastAsia" w:ascii="仿宋_GB2312" w:hAnsi="仿宋_GB2312" w:eastAsia="仿宋_GB2312" w:cs="仿宋_GB2312"/>
          <w:sz w:val="32"/>
          <w:szCs w:val="30"/>
        </w:rPr>
        <w:t>法院（款）案件执行（项）：指反映人民法院对刑事、民事、行政、涉外等案件执行活动和对各种非诉执行活动的支出</w:t>
      </w:r>
      <w:r>
        <w:rPr>
          <w:rFonts w:hint="eastAsia" w:ascii="仿宋_GB2312" w:hAnsi="仿宋_GB2312" w:eastAsia="仿宋_GB2312" w:cs="仿宋_GB2312"/>
          <w:sz w:val="32"/>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kern w:val="1"/>
          <w:sz w:val="32"/>
          <w:szCs w:val="32"/>
        </w:rPr>
        <w:t>公共安全支出（类）</w:t>
      </w:r>
      <w:r>
        <w:rPr>
          <w:rFonts w:hint="eastAsia" w:ascii="仿宋_GB2312" w:hAnsi="仿宋_GB2312" w:eastAsia="仿宋_GB2312" w:cs="仿宋_GB2312"/>
          <w:sz w:val="32"/>
          <w:szCs w:val="30"/>
        </w:rPr>
        <w:t>法院（款）“两庭”建设（项）：指反映人民法院审判用房、人民法庭用房、刑场建设维修和设备购置，以及审判庭安全监控设备购置及运行管理等支出</w:t>
      </w:r>
      <w:r>
        <w:rPr>
          <w:rFonts w:hint="eastAsia" w:ascii="仿宋_GB2312" w:hAnsi="仿宋_GB2312" w:eastAsia="仿宋_GB2312" w:cs="仿宋_GB2312"/>
          <w:sz w:val="32"/>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kern w:val="1"/>
          <w:sz w:val="32"/>
          <w:szCs w:val="32"/>
          <w:lang w:eastAsia="zh-CN"/>
        </w:rPr>
      </w:pPr>
      <w:r>
        <w:rPr>
          <w:rFonts w:hint="eastAsia" w:ascii="仿宋_GB2312" w:hAnsi="仿宋_GB2312" w:eastAsia="仿宋_GB2312" w:cs="仿宋_GB2312"/>
          <w:kern w:val="1"/>
          <w:sz w:val="32"/>
          <w:szCs w:val="32"/>
        </w:rPr>
        <w:t>公共安全支出（类）</w:t>
      </w:r>
      <w:r>
        <w:rPr>
          <w:rFonts w:hint="eastAsia" w:ascii="仿宋_GB2312" w:hAnsi="仿宋_GB2312" w:eastAsia="仿宋_GB2312" w:cs="仿宋_GB2312"/>
          <w:sz w:val="32"/>
          <w:szCs w:val="30"/>
        </w:rPr>
        <w:t>法院（款）其他法院支出（项）：指反映除上述项目以外其他用于法院方面的</w:t>
      </w:r>
      <w:r>
        <w:rPr>
          <w:rFonts w:hint="eastAsia" w:ascii="仿宋_GB2312" w:hAnsi="仿宋_GB2312" w:eastAsia="仿宋_GB2312" w:cs="仿宋_GB2312"/>
          <w:kern w:val="1"/>
          <w:sz w:val="32"/>
          <w:szCs w:val="32"/>
        </w:rPr>
        <w:t>公共安全支出</w:t>
      </w:r>
      <w:r>
        <w:rPr>
          <w:rFonts w:hint="eastAsia" w:ascii="仿宋_GB2312" w:hAnsi="仿宋_GB2312" w:eastAsia="仿宋_GB2312" w:cs="仿宋_GB2312"/>
          <w:kern w:val="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kern w:val="1"/>
          <w:sz w:val="32"/>
          <w:szCs w:val="32"/>
        </w:rPr>
        <w:t>社会保障和就业支出（类）</w:t>
      </w:r>
      <w:r>
        <w:rPr>
          <w:rFonts w:hint="eastAsia" w:ascii="仿宋_GB2312" w:hAnsi="仿宋_GB2312" w:eastAsia="仿宋_GB2312" w:cs="仿宋_GB2312"/>
          <w:sz w:val="32"/>
          <w:szCs w:val="30"/>
        </w:rPr>
        <w:t>：指反映政府在社会保障与就业方面的支出</w:t>
      </w:r>
      <w:r>
        <w:rPr>
          <w:rFonts w:hint="eastAsia" w:ascii="仿宋_GB2312" w:hAnsi="仿宋_GB2312" w:eastAsia="仿宋_GB2312" w:cs="仿宋_GB2312"/>
          <w:sz w:val="32"/>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kern w:val="1"/>
          <w:sz w:val="32"/>
          <w:szCs w:val="32"/>
        </w:rPr>
        <w:t>社会保障和就业支出（类）</w:t>
      </w:r>
      <w:r>
        <w:rPr>
          <w:rFonts w:hint="eastAsia" w:ascii="仿宋_GB2312" w:hAnsi="仿宋_GB2312" w:eastAsia="仿宋_GB2312" w:cs="仿宋_GB2312"/>
          <w:sz w:val="32"/>
          <w:szCs w:val="30"/>
        </w:rPr>
        <w:t>行政事业单位养老支出（款）机关事业单位基本养老保险缴费支出（项）：指反映机关事业单位实施养老保险制度由单位缴纳的基本养老保险费支出</w:t>
      </w:r>
      <w:r>
        <w:rPr>
          <w:rFonts w:hint="eastAsia" w:ascii="仿宋_GB2312" w:hAnsi="仿宋_GB2312" w:eastAsia="仿宋_GB2312" w:cs="仿宋_GB2312"/>
          <w:sz w:val="32"/>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kern w:val="1"/>
          <w:sz w:val="32"/>
          <w:szCs w:val="32"/>
        </w:rPr>
        <w:t>社会保障和就业支出（类）</w:t>
      </w:r>
      <w:r>
        <w:rPr>
          <w:rFonts w:hint="eastAsia" w:ascii="仿宋_GB2312" w:hAnsi="仿宋_GB2312" w:eastAsia="仿宋_GB2312" w:cs="仿宋_GB2312"/>
          <w:sz w:val="32"/>
          <w:szCs w:val="30"/>
        </w:rPr>
        <w:t>行政事业单位养老支出（款）机关事业单位职业年金缴费支出（项）：指反映机关事业单位实施养老保险制度由单位实际缴纳的职业年金支出</w:t>
      </w:r>
      <w:r>
        <w:rPr>
          <w:rFonts w:hint="eastAsia" w:ascii="仿宋_GB2312" w:hAnsi="仿宋_GB2312" w:eastAsia="仿宋_GB2312" w:cs="仿宋_GB2312"/>
          <w:sz w:val="32"/>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kern w:val="1"/>
          <w:sz w:val="32"/>
          <w:szCs w:val="32"/>
        </w:rPr>
        <w:t>社会保障和就业支出（类）抚恤</w:t>
      </w:r>
      <w:r>
        <w:rPr>
          <w:rFonts w:hint="eastAsia" w:ascii="仿宋_GB2312" w:hAnsi="仿宋_GB2312" w:eastAsia="仿宋_GB2312" w:cs="仿宋_GB2312"/>
          <w:sz w:val="32"/>
          <w:szCs w:val="30"/>
        </w:rPr>
        <w:t>（款）其他优抚支出（项）：指反映其他用于优抚方面的支出</w:t>
      </w:r>
      <w:r>
        <w:rPr>
          <w:rFonts w:hint="eastAsia" w:ascii="仿宋_GB2312" w:hAnsi="仿宋_GB2312" w:eastAsia="仿宋_GB2312" w:cs="仿宋_GB2312"/>
          <w:sz w:val="32"/>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kern w:val="1"/>
          <w:sz w:val="32"/>
          <w:szCs w:val="32"/>
        </w:rPr>
        <w:t>卫生健康支出（类）</w:t>
      </w:r>
      <w:r>
        <w:rPr>
          <w:rFonts w:hint="eastAsia" w:ascii="仿宋_GB2312" w:hAnsi="仿宋_GB2312" w:eastAsia="仿宋_GB2312" w:cs="仿宋_GB2312"/>
          <w:sz w:val="32"/>
          <w:szCs w:val="30"/>
        </w:rPr>
        <w:t>行政事业单位医疗（款）行政单位医疗（项）：指反映财政部门集中安排的行政单位基本医疗保险缴费经费，未参加医疗保险的行政单位的公费医疗经费，按国家规定享受离休人员、红军老战士待遇人员的医疗经费</w:t>
      </w:r>
      <w:r>
        <w:rPr>
          <w:rFonts w:hint="eastAsia" w:ascii="仿宋_GB2312" w:hAnsi="仿宋_GB2312" w:eastAsia="仿宋_GB2312" w:cs="仿宋_GB2312"/>
          <w:sz w:val="32"/>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kern w:val="1"/>
          <w:sz w:val="32"/>
          <w:szCs w:val="32"/>
        </w:rPr>
        <w:t>卫生健康支出（类）</w:t>
      </w:r>
      <w:r>
        <w:rPr>
          <w:rFonts w:hint="eastAsia" w:ascii="仿宋_GB2312" w:hAnsi="仿宋_GB2312" w:eastAsia="仿宋_GB2312" w:cs="仿宋_GB2312"/>
          <w:sz w:val="32"/>
          <w:szCs w:val="30"/>
        </w:rPr>
        <w:t>行政事业单位医疗（款）公务员医疗补助（项）：指反映财政部门集中安排的公务员医疗补助经费</w:t>
      </w:r>
      <w:r>
        <w:rPr>
          <w:rFonts w:hint="eastAsia" w:ascii="仿宋_GB2312" w:hAnsi="仿宋_GB2312" w:eastAsia="仿宋_GB2312" w:cs="仿宋_GB2312"/>
          <w:sz w:val="32"/>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0"/>
        </w:rPr>
      </w:pPr>
      <w:r>
        <w:rPr>
          <w:rFonts w:hint="eastAsia" w:ascii="仿宋_GB2312" w:hAnsi="仿宋_GB2312" w:eastAsia="仿宋_GB2312" w:cs="仿宋_GB2312"/>
          <w:kern w:val="1"/>
          <w:sz w:val="32"/>
          <w:szCs w:val="32"/>
        </w:rPr>
        <w:t>住房保障支出（类）</w:t>
      </w:r>
      <w:r>
        <w:rPr>
          <w:rFonts w:hint="eastAsia" w:ascii="仿宋_GB2312" w:hAnsi="仿宋_GB2312" w:eastAsia="仿宋_GB2312" w:cs="仿宋_GB2312"/>
          <w:sz w:val="32"/>
          <w:szCs w:val="30"/>
        </w:rPr>
        <w:t>住房改革支出（款）住房公积金（项）：指反映行政事业单位按人力资源和社会保障部、财政部规定的基本工资和津贴补贴以及规定比例为职工缴纳的住房公积金。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0"/>
        </w:rPr>
      </w:pP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仿宋_GB2312" w:eastAsia="仿宋_GB2312" w:cs="仿宋_GB2312"/>
          <w:sz w:val="32"/>
          <w:szCs w:val="30"/>
        </w:rPr>
        <w:sectPr>
          <w:footerReference r:id="rId3" w:type="default"/>
          <w:footerReference r:id="rId4" w:type="even"/>
          <w:pgSz w:w="11906" w:h="16838"/>
          <w:pgMar w:top="1440" w:right="1800" w:bottom="1440" w:left="1800" w:header="851" w:footer="992" w:gutter="0"/>
          <w:cols w:space="720" w:num="1"/>
          <w:docGrid w:type="lines" w:linePitch="312" w:charSpace="0"/>
        </w:sectPr>
      </w:pPr>
    </w:p>
    <w:tbl>
      <w:tblPr>
        <w:tblStyle w:val="9"/>
        <w:tblW w:w="133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53"/>
        <w:gridCol w:w="15"/>
        <w:gridCol w:w="979"/>
        <w:gridCol w:w="3"/>
        <w:gridCol w:w="1707"/>
        <w:gridCol w:w="3"/>
        <w:gridCol w:w="623"/>
        <w:gridCol w:w="465"/>
        <w:gridCol w:w="840"/>
        <w:gridCol w:w="705"/>
        <w:gridCol w:w="487"/>
        <w:gridCol w:w="353"/>
        <w:gridCol w:w="712"/>
        <w:gridCol w:w="351"/>
        <w:gridCol w:w="677"/>
        <w:gridCol w:w="60"/>
        <w:gridCol w:w="1155"/>
        <w:gridCol w:w="60"/>
        <w:gridCol w:w="682"/>
        <w:gridCol w:w="128"/>
        <w:gridCol w:w="870"/>
        <w:gridCol w:w="90"/>
        <w:gridCol w:w="1005"/>
        <w:gridCol w:w="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510" w:hRule="atLeast"/>
        </w:trPr>
        <w:tc>
          <w:tcPr>
            <w:tcW w:w="13223" w:type="dxa"/>
            <w:gridSpan w:val="2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等线" w:hAnsi="等线" w:eastAsia="等线" w:cs="等线"/>
                <w:b/>
                <w:i w:val="0"/>
                <w:color w:val="000000"/>
                <w:sz w:val="40"/>
                <w:szCs w:val="40"/>
                <w:u w:val="none"/>
              </w:rPr>
            </w:pPr>
            <w:r>
              <w:rPr>
                <w:rFonts w:hint="default" w:ascii="等线" w:hAnsi="等线" w:eastAsia="等线" w:cs="等线"/>
                <w:b/>
                <w:i w:val="0"/>
                <w:color w:val="000000"/>
                <w:kern w:val="0"/>
                <w:sz w:val="40"/>
                <w:szCs w:val="40"/>
                <w:u w:val="none"/>
                <w:lang w:val="en-US" w:eastAsia="zh-CN" w:bidi="ar"/>
              </w:rPr>
              <w:t xml:space="preserve">项目支出绩效自评表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365" w:hRule="atLeast"/>
        </w:trPr>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项目名称:</w:t>
            </w:r>
          </w:p>
        </w:tc>
        <w:tc>
          <w:tcPr>
            <w:tcW w:w="3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综合运行事务</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填报人:</w:t>
            </w:r>
          </w:p>
        </w:tc>
        <w:tc>
          <w:tcPr>
            <w:tcW w:w="26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吴萍</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联系方式:</w:t>
            </w:r>
          </w:p>
        </w:tc>
        <w:tc>
          <w:tcPr>
            <w:tcW w:w="27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88866516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398" w:hRule="atLeast"/>
        </w:trPr>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主管部门:</w:t>
            </w:r>
          </w:p>
        </w:tc>
        <w:tc>
          <w:tcPr>
            <w:tcW w:w="3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662-三亚市中级人民法院</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实施单位:</w:t>
            </w:r>
          </w:p>
        </w:tc>
        <w:tc>
          <w:tcPr>
            <w:tcW w:w="663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662001-三亚市中级人民法院本级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315" w:hRule="atLeast"/>
        </w:trPr>
        <w:tc>
          <w:tcPr>
            <w:tcW w:w="22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资金构成(元)</w:t>
            </w:r>
          </w:p>
        </w:tc>
        <w:tc>
          <w:tcPr>
            <w:tcW w:w="1710" w:type="dxa"/>
            <w:gridSpan w:val="2"/>
            <w:tcBorders>
              <w:top w:val="single" w:color="000000" w:sz="4" w:space="0"/>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年初预算数</w:t>
            </w:r>
          </w:p>
        </w:tc>
        <w:tc>
          <w:tcPr>
            <w:tcW w:w="26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全年预算数</w:t>
            </w:r>
          </w:p>
        </w:tc>
        <w:tc>
          <w:tcPr>
            <w:tcW w:w="38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执行数</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分值</w:t>
            </w:r>
          </w:p>
        </w:tc>
        <w:tc>
          <w:tcPr>
            <w:tcW w:w="96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执行率（%）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315" w:hRule="atLeast"/>
        </w:trPr>
        <w:tc>
          <w:tcPr>
            <w:tcW w:w="22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资金总额：</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6,108,100.00</w:t>
            </w:r>
          </w:p>
        </w:tc>
        <w:tc>
          <w:tcPr>
            <w:tcW w:w="26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11,314,597.35</w:t>
            </w:r>
          </w:p>
        </w:tc>
        <w:tc>
          <w:tcPr>
            <w:tcW w:w="38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8,970,235.28</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 xml:space="preserve">10.00 </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79.28</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lang w:val="en"/>
              </w:rPr>
            </w:pPr>
            <w:r>
              <w:rPr>
                <w:rFonts w:hint="default" w:ascii="等线" w:hAnsi="等线" w:eastAsia="等线" w:cs="等线"/>
                <w:i w:val="0"/>
                <w:color w:val="000000"/>
                <w:kern w:val="0"/>
                <w:sz w:val="22"/>
                <w:szCs w:val="22"/>
                <w:u w:val="none"/>
                <w:lang w:val="en" w:eastAsia="zh-CN" w:bidi="ar"/>
              </w:rPr>
              <w:t>7.93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315" w:hRule="atLeast"/>
        </w:trPr>
        <w:tc>
          <w:tcPr>
            <w:tcW w:w="22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其中：财政资金：</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6,108,100.00</w:t>
            </w:r>
          </w:p>
        </w:tc>
        <w:tc>
          <w:tcPr>
            <w:tcW w:w="26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6,108,100.00</w:t>
            </w:r>
          </w:p>
        </w:tc>
        <w:tc>
          <w:tcPr>
            <w:tcW w:w="38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6,108,100.00</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right"/>
              <w:rPr>
                <w:rFonts w:hint="default" w:ascii="等线" w:hAnsi="等线" w:eastAsia="等线" w:cs="等线"/>
                <w:i w:val="0"/>
                <w:color w:val="000000"/>
                <w:sz w:val="22"/>
                <w:szCs w:val="22"/>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righ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315" w:hRule="atLeast"/>
        </w:trPr>
        <w:tc>
          <w:tcPr>
            <w:tcW w:w="22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单位资金：</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26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5,206,497.35</w:t>
            </w:r>
          </w:p>
        </w:tc>
        <w:tc>
          <w:tcPr>
            <w:tcW w:w="3855" w:type="dxa"/>
            <w:gridSpan w:val="8"/>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2,862,135.28</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right"/>
              <w:rPr>
                <w:rFonts w:hint="default" w:ascii="等线" w:hAnsi="等线" w:eastAsia="等线" w:cs="等线"/>
                <w:i w:val="0"/>
                <w:color w:val="000000"/>
                <w:sz w:val="22"/>
                <w:szCs w:val="22"/>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54.97</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righ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315" w:hRule="atLeast"/>
        </w:trPr>
        <w:tc>
          <w:tcPr>
            <w:tcW w:w="22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财政专户管理资金：</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26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38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right"/>
              <w:rPr>
                <w:rFonts w:hint="default" w:ascii="等线" w:hAnsi="等线" w:eastAsia="等线" w:cs="等线"/>
                <w:i w:val="0"/>
                <w:color w:val="000000"/>
                <w:sz w:val="22"/>
                <w:szCs w:val="22"/>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righ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315" w:hRule="atLeast"/>
        </w:trPr>
        <w:tc>
          <w:tcPr>
            <w:tcW w:w="659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年度目标</w:t>
            </w:r>
          </w:p>
        </w:tc>
        <w:tc>
          <w:tcPr>
            <w:tcW w:w="663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1153" w:hRule="atLeast"/>
        </w:trPr>
        <w:tc>
          <w:tcPr>
            <w:tcW w:w="6593" w:type="dxa"/>
            <w:gridSpan w:val="10"/>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保障对象达200人次，印刷数量达1000份，全体法院工作人员满意度达90%以上，法律宣传的普及率达95%以上。</w:t>
            </w:r>
          </w:p>
        </w:tc>
        <w:tc>
          <w:tcPr>
            <w:tcW w:w="6630" w:type="dxa"/>
            <w:gridSpan w:val="1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top"/>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保障对象达200人次，印刷数量达1000份，全体法院工作人员满意度达90%以上，法律宣传的普及率达95%以上。有效地保障了法院各项综合事务顺利运行。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570" w:hRule="atLeast"/>
        </w:trPr>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一级指标</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二级指标</w:t>
            </w:r>
          </w:p>
        </w:tc>
        <w:tc>
          <w:tcPr>
            <w:tcW w:w="280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三级指标</w:t>
            </w:r>
          </w:p>
        </w:tc>
        <w:tc>
          <w:tcPr>
            <w:tcW w:w="1545"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指标性质</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年度指标值</w:t>
            </w:r>
          </w:p>
        </w:tc>
        <w:tc>
          <w:tcPr>
            <w:tcW w:w="1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度量单位</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实际完成值</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完成率</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分值</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得分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623" w:hRule="atLeast"/>
        </w:trPr>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产出指标</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数量指标</w:t>
            </w:r>
          </w:p>
        </w:tc>
        <w:tc>
          <w:tcPr>
            <w:tcW w:w="280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保障对象</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200</w:t>
            </w:r>
          </w:p>
        </w:tc>
        <w:tc>
          <w:tcPr>
            <w:tcW w:w="1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人次</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280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100.00%</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40.00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40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623" w:hRule="atLeast"/>
        </w:trPr>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效益指标</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社会效益指标</w:t>
            </w:r>
          </w:p>
        </w:tc>
        <w:tc>
          <w:tcPr>
            <w:tcW w:w="280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法律宣传普及率</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95</w:t>
            </w:r>
          </w:p>
        </w:tc>
        <w:tc>
          <w:tcPr>
            <w:tcW w:w="1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95</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100.00%</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40.00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40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623" w:hRule="atLeast"/>
        </w:trPr>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满意度指标</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服务对象满意度</w:t>
            </w:r>
          </w:p>
        </w:tc>
        <w:tc>
          <w:tcPr>
            <w:tcW w:w="280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全体法院工作人员满意度</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90</w:t>
            </w:r>
          </w:p>
        </w:tc>
        <w:tc>
          <w:tcPr>
            <w:tcW w:w="1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95</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100.00%</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623" w:hRule="atLeast"/>
        </w:trPr>
        <w:tc>
          <w:tcPr>
            <w:tcW w:w="1044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合计</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97.93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3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等线" w:hAnsi="等线" w:eastAsia="等线" w:cs="等线"/>
                <w:b/>
                <w:i w:val="0"/>
                <w:color w:val="000000"/>
                <w:sz w:val="40"/>
                <w:szCs w:val="40"/>
                <w:u w:val="none"/>
              </w:rPr>
            </w:pPr>
            <w:r>
              <w:rPr>
                <w:rFonts w:hint="default" w:ascii="等线" w:hAnsi="等线" w:eastAsia="等线" w:cs="等线"/>
                <w:b/>
                <w:i w:val="0"/>
                <w:color w:val="000000"/>
                <w:kern w:val="0"/>
                <w:sz w:val="40"/>
                <w:szCs w:val="40"/>
                <w:u w:val="none"/>
                <w:lang w:val="en-US" w:eastAsia="zh-CN" w:bidi="ar"/>
              </w:rPr>
              <w:t xml:space="preserve">项目支出绩效自评表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项目名称:</w:t>
            </w:r>
          </w:p>
        </w:tc>
        <w:tc>
          <w:tcPr>
            <w:tcW w:w="33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执法办案业务</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填报人:</w:t>
            </w:r>
          </w:p>
        </w:tc>
        <w:tc>
          <w:tcPr>
            <w:tcW w:w="328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吴萍</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联系方式:</w:t>
            </w:r>
          </w:p>
        </w:tc>
        <w:tc>
          <w:tcPr>
            <w:tcW w:w="29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88866516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主管部门:</w:t>
            </w:r>
          </w:p>
        </w:tc>
        <w:tc>
          <w:tcPr>
            <w:tcW w:w="33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662-三亚市中级人民法院</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实施单位:</w:t>
            </w:r>
          </w:p>
        </w:tc>
        <w:tc>
          <w:tcPr>
            <w:tcW w:w="7417"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662001-三亚市中级人民法院本级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资金构成(元)</w:t>
            </w:r>
          </w:p>
        </w:tc>
        <w:tc>
          <w:tcPr>
            <w:tcW w:w="1710" w:type="dxa"/>
            <w:gridSpan w:val="2"/>
            <w:tcBorders>
              <w:top w:val="single" w:color="000000" w:sz="4" w:space="0"/>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年初预算数</w:t>
            </w:r>
          </w:p>
        </w:tc>
        <w:tc>
          <w:tcPr>
            <w:tcW w:w="19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全年预算数</w:t>
            </w:r>
          </w:p>
        </w:tc>
        <w:tc>
          <w:tcPr>
            <w:tcW w:w="45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执行数</w:t>
            </w:r>
          </w:p>
        </w:tc>
        <w:tc>
          <w:tcPr>
            <w:tcW w:w="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分值</w:t>
            </w:r>
          </w:p>
        </w:tc>
        <w:tc>
          <w:tcPr>
            <w:tcW w:w="998"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执行率（%）</w:t>
            </w:r>
          </w:p>
        </w:tc>
        <w:tc>
          <w:tcPr>
            <w:tcW w:w="11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资金总额：</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8,104,855.72</w:t>
            </w:r>
          </w:p>
        </w:tc>
        <w:tc>
          <w:tcPr>
            <w:tcW w:w="19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9,941,116.92</w:t>
            </w:r>
          </w:p>
        </w:tc>
        <w:tc>
          <w:tcPr>
            <w:tcW w:w="45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9,936,086.92</w:t>
            </w:r>
          </w:p>
        </w:tc>
        <w:tc>
          <w:tcPr>
            <w:tcW w:w="7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 xml:space="preserve">10.00 </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99.95</w:t>
            </w:r>
          </w:p>
        </w:tc>
        <w:tc>
          <w:tcPr>
            <w:tcW w:w="117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其中：财政资金：</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8,104,855.72</w:t>
            </w:r>
          </w:p>
        </w:tc>
        <w:tc>
          <w:tcPr>
            <w:tcW w:w="19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9,941,116.92</w:t>
            </w:r>
          </w:p>
        </w:tc>
        <w:tc>
          <w:tcPr>
            <w:tcW w:w="45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9,936,086.92</w:t>
            </w:r>
          </w:p>
        </w:tc>
        <w:tc>
          <w:tcPr>
            <w:tcW w:w="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99.95</w:t>
            </w:r>
          </w:p>
        </w:tc>
        <w:tc>
          <w:tcPr>
            <w:tcW w:w="11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单位资金：</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19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4500" w:type="dxa"/>
            <w:gridSpan w:val="8"/>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w:t>
            </w:r>
          </w:p>
        </w:tc>
        <w:tc>
          <w:tcPr>
            <w:tcW w:w="11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财政专户管理资金：</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19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45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w:t>
            </w:r>
          </w:p>
        </w:tc>
        <w:tc>
          <w:tcPr>
            <w:tcW w:w="11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8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年度目标</w:t>
            </w:r>
          </w:p>
        </w:tc>
        <w:tc>
          <w:tcPr>
            <w:tcW w:w="7417"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5" w:hRule="atLeast"/>
        </w:trPr>
        <w:tc>
          <w:tcPr>
            <w:tcW w:w="5888" w:type="dxa"/>
            <w:gridSpan w:val="9"/>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为三亚市中级人民法院各类案件审判和执行工作提供经费保障，确保高效、高质的完成案件审判等相关工作，提高办案效率和结案率，同时有效利用资金。</w:t>
            </w:r>
          </w:p>
        </w:tc>
        <w:tc>
          <w:tcPr>
            <w:tcW w:w="7417" w:type="dxa"/>
            <w:gridSpan w:val="1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为三亚市中级人民法院各类案件审判和执行工作提供了经费保障，确保高效、高质的完成案件审判等相关工作，提高办案效率和结案率，同时有效利用资金。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一级指标</w:t>
            </w:r>
          </w:p>
        </w:tc>
        <w:tc>
          <w:tcPr>
            <w:tcW w:w="9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二级指标</w:t>
            </w:r>
          </w:p>
        </w:tc>
        <w:tc>
          <w:tcPr>
            <w:tcW w:w="23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三级指标</w:t>
            </w:r>
          </w:p>
        </w:tc>
        <w:tc>
          <w:tcPr>
            <w:tcW w:w="1305"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指标性质</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年度指标值</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度量单位</w:t>
            </w:r>
          </w:p>
        </w:tc>
        <w:tc>
          <w:tcPr>
            <w:tcW w:w="1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实际完成值</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完成率</w:t>
            </w:r>
          </w:p>
        </w:tc>
        <w:tc>
          <w:tcPr>
            <w:tcW w:w="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分值</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得分</w:t>
            </w:r>
          </w:p>
        </w:tc>
        <w:tc>
          <w:tcPr>
            <w:tcW w:w="11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产出指标</w:t>
            </w:r>
          </w:p>
        </w:tc>
        <w:tc>
          <w:tcPr>
            <w:tcW w:w="9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数量指标</w:t>
            </w:r>
          </w:p>
        </w:tc>
        <w:tc>
          <w:tcPr>
            <w:tcW w:w="23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案件受理率</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80</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1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100.00%</w:t>
            </w:r>
          </w:p>
        </w:tc>
        <w:tc>
          <w:tcPr>
            <w:tcW w:w="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30.00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30</w:t>
            </w:r>
          </w:p>
        </w:tc>
        <w:tc>
          <w:tcPr>
            <w:tcW w:w="117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产出指标</w:t>
            </w:r>
          </w:p>
        </w:tc>
        <w:tc>
          <w:tcPr>
            <w:tcW w:w="9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数量指标</w:t>
            </w:r>
          </w:p>
        </w:tc>
        <w:tc>
          <w:tcPr>
            <w:tcW w:w="23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结案率</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90</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1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89.27</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99.19%</w:t>
            </w:r>
          </w:p>
        </w:tc>
        <w:tc>
          <w:tcPr>
            <w:tcW w:w="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30.00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29.76</w:t>
            </w:r>
          </w:p>
        </w:tc>
        <w:tc>
          <w:tcPr>
            <w:tcW w:w="11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2024年度我院受理案件增长较多，员额法官人数较少，因此结案率略低于设定目标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效益指标</w:t>
            </w:r>
          </w:p>
        </w:tc>
        <w:tc>
          <w:tcPr>
            <w:tcW w:w="9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社会效益指标</w:t>
            </w:r>
          </w:p>
        </w:tc>
        <w:tc>
          <w:tcPr>
            <w:tcW w:w="23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生效案件改判发回重审率</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20</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1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5</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100.00%</w:t>
            </w:r>
          </w:p>
        </w:tc>
        <w:tc>
          <w:tcPr>
            <w:tcW w:w="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30.00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30</w:t>
            </w:r>
          </w:p>
        </w:tc>
        <w:tc>
          <w:tcPr>
            <w:tcW w:w="117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0388"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合计</w:t>
            </w:r>
          </w:p>
        </w:tc>
        <w:tc>
          <w:tcPr>
            <w:tcW w:w="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99.76</w:t>
            </w:r>
          </w:p>
        </w:tc>
        <w:tc>
          <w:tcPr>
            <w:tcW w:w="117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rPr>
                <w:rFonts w:hint="default" w:ascii="等线" w:hAnsi="等线" w:eastAsia="等线" w:cs="等线"/>
                <w:i w:val="0"/>
                <w:color w:val="000000"/>
                <w:sz w:val="22"/>
                <w:szCs w:val="22"/>
                <w:u w:val="none"/>
              </w:rPr>
            </w:pPr>
          </w:p>
        </w:tc>
      </w:tr>
    </w:tbl>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tbl>
      <w:tblPr>
        <w:tblStyle w:val="9"/>
        <w:tblW w:w="121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98"/>
        <w:gridCol w:w="1245"/>
        <w:gridCol w:w="1402"/>
        <w:gridCol w:w="135"/>
        <w:gridCol w:w="1260"/>
        <w:gridCol w:w="958"/>
        <w:gridCol w:w="747"/>
        <w:gridCol w:w="1048"/>
        <w:gridCol w:w="1230"/>
        <w:gridCol w:w="900"/>
        <w:gridCol w:w="810"/>
        <w:gridCol w:w="1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21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等线" w:hAnsi="等线" w:eastAsia="等线" w:cs="等线"/>
                <w:b/>
                <w:i w:val="0"/>
                <w:color w:val="000000"/>
                <w:sz w:val="40"/>
                <w:szCs w:val="40"/>
                <w:u w:val="none"/>
              </w:rPr>
            </w:pPr>
            <w:r>
              <w:rPr>
                <w:rFonts w:hint="default" w:ascii="等线" w:hAnsi="等线" w:eastAsia="等线" w:cs="等线"/>
                <w:b/>
                <w:i w:val="0"/>
                <w:color w:val="000000"/>
                <w:kern w:val="0"/>
                <w:sz w:val="40"/>
                <w:szCs w:val="40"/>
                <w:u w:val="none"/>
                <w:lang w:val="en-US" w:eastAsia="zh-CN" w:bidi="ar"/>
              </w:rPr>
              <w:t xml:space="preserve">项目支出绩效自评表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项目名称:</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聘用制书记员管理</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填报人:</w:t>
            </w:r>
          </w:p>
        </w:tc>
        <w:tc>
          <w:tcPr>
            <w:tcW w:w="27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吴萍</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联系方式:</w:t>
            </w:r>
          </w:p>
        </w:tc>
        <w:tc>
          <w:tcPr>
            <w:tcW w:w="28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88866516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主管部门:</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662-三亚市中级人民法院</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实施单位:</w:t>
            </w:r>
          </w:p>
        </w:tc>
        <w:tc>
          <w:tcPr>
            <w:tcW w:w="68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662001-三亚市中级人民法院本级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资金构成(元)</w:t>
            </w:r>
          </w:p>
        </w:tc>
        <w:tc>
          <w:tcPr>
            <w:tcW w:w="1402" w:type="dxa"/>
            <w:tcBorders>
              <w:top w:val="single" w:color="000000" w:sz="4" w:space="0"/>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年初预算数</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全年预算数</w:t>
            </w:r>
          </w:p>
        </w:tc>
        <w:tc>
          <w:tcPr>
            <w:tcW w:w="398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执行数</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分值</w:t>
            </w:r>
          </w:p>
        </w:tc>
        <w:tc>
          <w:tcPr>
            <w:tcW w:w="81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执行率（%）</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资金总额：</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795,000.00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795,000.00</w:t>
            </w:r>
          </w:p>
        </w:tc>
        <w:tc>
          <w:tcPr>
            <w:tcW w:w="398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795,000.00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 xml:space="preserve">10.00 </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其中：财政资金：</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795,000.00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795,000.00</w:t>
            </w:r>
          </w:p>
        </w:tc>
        <w:tc>
          <w:tcPr>
            <w:tcW w:w="398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795,000.00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单位资金：</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3983" w:type="dxa"/>
            <w:gridSpan w:val="4"/>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财政专户管理资金：</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398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0</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3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年度目标</w:t>
            </w:r>
          </w:p>
        </w:tc>
        <w:tc>
          <w:tcPr>
            <w:tcW w:w="68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340"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　为不断完善司法人员分类管理制定，推动聘用制书记员管理制度化、规范化。</w:t>
            </w:r>
          </w:p>
        </w:tc>
        <w:tc>
          <w:tcPr>
            <w:tcW w:w="6825"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充分保障了我院聘用制书记员的各项薪资福利及办公需求，推动聘用制书记员管理进一步规范。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一级指标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二级指标</w:t>
            </w:r>
          </w:p>
        </w:tc>
        <w:tc>
          <w:tcPr>
            <w:tcW w:w="1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三级指标</w:t>
            </w:r>
          </w:p>
        </w:tc>
        <w:tc>
          <w:tcPr>
            <w:tcW w:w="126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指标性质</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年度指标值</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度量单位</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实际完成值</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完成率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分值</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得分</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b/>
                <w:i w:val="0"/>
                <w:color w:val="000000"/>
                <w:sz w:val="24"/>
                <w:szCs w:val="24"/>
                <w:u w:val="none"/>
              </w:rPr>
            </w:pPr>
            <w:r>
              <w:rPr>
                <w:rFonts w:hint="default" w:ascii="等线" w:hAnsi="等线" w:eastAsia="等线" w:cs="等线"/>
                <w:b/>
                <w:i w:val="0"/>
                <w:color w:val="000000"/>
                <w:kern w:val="0"/>
                <w:sz w:val="24"/>
                <w:szCs w:val="24"/>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产出指标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数量指标</w:t>
            </w:r>
          </w:p>
        </w:tc>
        <w:tc>
          <w:tcPr>
            <w:tcW w:w="1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办理案件数</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3500</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件</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7979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50.00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50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效益指标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社会效益指标</w:t>
            </w:r>
          </w:p>
        </w:tc>
        <w:tc>
          <w:tcPr>
            <w:tcW w:w="1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结案率</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90</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89.27</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99.19%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30.00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29.76</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0"/>
                <w:szCs w:val="20"/>
                <w:u w:val="none"/>
              </w:rPr>
            </w:pPr>
            <w:r>
              <w:rPr>
                <w:rFonts w:hint="default" w:ascii="等线" w:hAnsi="等线" w:eastAsia="等线" w:cs="等线"/>
                <w:i w:val="0"/>
                <w:color w:val="000000"/>
                <w:kern w:val="0"/>
                <w:sz w:val="22"/>
                <w:szCs w:val="22"/>
                <w:u w:val="none"/>
                <w:lang w:val="en-US" w:eastAsia="zh-CN" w:bidi="ar"/>
              </w:rPr>
              <w:t>2024年案件增长较多，员额法官人员较少，导致结案率略低于设定目标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满意度指标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服务对象满意度</w:t>
            </w:r>
          </w:p>
        </w:tc>
        <w:tc>
          <w:tcPr>
            <w:tcW w:w="1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职工满意度调查</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95</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rPr>
                <w:rFonts w:hint="default" w:ascii="等线" w:hAnsi="等线" w:eastAsia="等线" w:cs="等线"/>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932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合计</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100.00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等线" w:hAnsi="等线" w:eastAsia="等线" w:cs="等线"/>
                <w:i w:val="0"/>
                <w:color w:val="000000"/>
                <w:sz w:val="22"/>
                <w:szCs w:val="22"/>
                <w:u w:val="none"/>
              </w:rPr>
            </w:pPr>
            <w:r>
              <w:rPr>
                <w:rFonts w:hint="default" w:ascii="等线" w:hAnsi="等线" w:eastAsia="等线" w:cs="等线"/>
                <w:i w:val="0"/>
                <w:color w:val="000000"/>
                <w:kern w:val="0"/>
                <w:sz w:val="22"/>
                <w:szCs w:val="22"/>
                <w:u w:val="none"/>
                <w:lang w:val="en-US" w:eastAsia="zh-CN" w:bidi="ar"/>
              </w:rPr>
              <w:t>99.76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rPr>
                <w:rFonts w:hint="default" w:ascii="等线" w:hAnsi="等线" w:eastAsia="等线" w:cs="等线"/>
                <w:i w:val="0"/>
                <w:color w:val="000000"/>
                <w:sz w:val="22"/>
                <w:szCs w:val="22"/>
                <w:u w:val="none"/>
              </w:rPr>
            </w:pPr>
          </w:p>
        </w:tc>
      </w:tr>
    </w:tbl>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pPr>
    </w:p>
    <w:p>
      <w:pPr>
        <w:rPr>
          <w:rFonts w:hint="eastAsia" w:ascii="仿宋_GB2312" w:hAnsi="仿宋_GB2312" w:eastAsia="仿宋_GB2312" w:cs="仿宋_GB2312"/>
          <w:sz w:val="32"/>
          <w:szCs w:val="30"/>
        </w:rPr>
        <w:sectPr>
          <w:pgSz w:w="16838" w:h="11906" w:orient="landscape"/>
          <w:pgMar w:top="1440" w:right="1800" w:bottom="1440" w:left="1800" w:header="851" w:footer="992" w:gutter="0"/>
          <w:cols w:space="720" w:num="1"/>
          <w:docGrid w:type="lines" w:linePitch="312" w:charSpace="0"/>
        </w:sectPr>
      </w:pPr>
    </w:p>
    <w:p>
      <w:pPr>
        <w:jc w:val="left"/>
        <w:rPr>
          <w:rFonts w:hint="eastAsia" w:ascii="仿宋_GB2312" w:hAnsi="黑体" w:eastAsia="仿宋_GB2312" w:cs="宋体"/>
          <w:b/>
          <w:bCs/>
          <w:kern w:val="0"/>
          <w:sz w:val="44"/>
          <w:szCs w:val="44"/>
          <w:lang w:eastAsia="zh-CN"/>
        </w:rPr>
      </w:pPr>
    </w:p>
    <w:p>
      <w:pPr>
        <w:jc w:val="left"/>
        <w:rPr>
          <w:rFonts w:hint="eastAsia" w:ascii="仿宋_GB2312" w:hAnsi="黑体" w:eastAsia="仿宋_GB2312" w:cs="宋体"/>
          <w:b/>
          <w:bCs/>
          <w:kern w:val="0"/>
          <w:sz w:val="44"/>
          <w:szCs w:val="44"/>
          <w:lang w:eastAsia="zh-CN"/>
        </w:rPr>
      </w:pPr>
    </w:p>
    <w:p>
      <w:pPr>
        <w:jc w:val="center"/>
        <w:rPr>
          <w:rFonts w:hint="eastAsia" w:ascii="仿宋_GB2312" w:hAnsi="黑体" w:eastAsia="仿宋_GB2312" w:cs="宋体"/>
          <w:b/>
          <w:bCs/>
          <w:kern w:val="0"/>
          <w:sz w:val="44"/>
          <w:szCs w:val="44"/>
          <w:lang w:eastAsia="zh-CN"/>
        </w:rPr>
      </w:pPr>
    </w:p>
    <w:p>
      <w:pPr>
        <w:jc w:val="center"/>
        <w:rPr>
          <w:rFonts w:hint="eastAsia" w:ascii="仿宋_GB2312" w:hAnsi="黑体" w:eastAsia="仿宋_GB2312" w:cs="宋体"/>
          <w:b/>
          <w:bCs/>
          <w:kern w:val="0"/>
          <w:sz w:val="44"/>
          <w:szCs w:val="44"/>
          <w:lang w:eastAsia="zh-CN"/>
        </w:rPr>
      </w:pPr>
      <w:r>
        <w:rPr>
          <w:rFonts w:hint="eastAsia" w:ascii="仿宋_GB2312" w:hAnsi="黑体" w:eastAsia="仿宋_GB2312" w:cs="宋体"/>
          <w:b/>
          <w:bCs/>
          <w:kern w:val="0"/>
          <w:sz w:val="44"/>
          <w:szCs w:val="44"/>
          <w:lang w:eastAsia="zh-CN"/>
        </w:rPr>
        <w:t>海南省</w:t>
      </w:r>
      <w:r>
        <w:rPr>
          <w:rFonts w:hint="eastAsia" w:ascii="仿宋_GB2312" w:hAnsi="黑体" w:eastAsia="仿宋_GB2312" w:cs="宋体"/>
          <w:b/>
          <w:bCs/>
          <w:kern w:val="0"/>
          <w:sz w:val="44"/>
          <w:szCs w:val="44"/>
        </w:rPr>
        <w:t>三亚市</w:t>
      </w:r>
      <w:r>
        <w:rPr>
          <w:rFonts w:hint="eastAsia" w:ascii="仿宋_GB2312" w:hAnsi="黑体" w:eastAsia="仿宋_GB2312" w:cs="宋体"/>
          <w:b/>
          <w:bCs/>
          <w:kern w:val="0"/>
          <w:sz w:val="44"/>
          <w:szCs w:val="44"/>
          <w:lang w:eastAsia="zh-CN"/>
        </w:rPr>
        <w:t>中级人民法院</w:t>
      </w:r>
      <w:r>
        <w:rPr>
          <w:rFonts w:hint="eastAsia" w:ascii="仿宋_GB2312" w:hAnsi="黑体" w:eastAsia="仿宋_GB2312" w:cs="宋体"/>
          <w:b/>
          <w:bCs/>
          <w:kern w:val="0"/>
          <w:sz w:val="44"/>
          <w:szCs w:val="44"/>
        </w:rPr>
        <w:t>202</w:t>
      </w:r>
      <w:r>
        <w:rPr>
          <w:rFonts w:hint="default" w:ascii="仿宋_GB2312" w:hAnsi="黑体" w:eastAsia="仿宋_GB2312" w:cs="宋体"/>
          <w:b/>
          <w:bCs/>
          <w:kern w:val="0"/>
          <w:sz w:val="44"/>
          <w:szCs w:val="44"/>
          <w:lang w:val="en" w:eastAsia="zh-CN"/>
        </w:rPr>
        <w:t>4</w:t>
      </w:r>
      <w:r>
        <w:rPr>
          <w:rFonts w:hint="eastAsia" w:ascii="仿宋_GB2312" w:hAnsi="黑体" w:eastAsia="仿宋_GB2312" w:cs="宋体"/>
          <w:b/>
          <w:bCs/>
          <w:kern w:val="0"/>
          <w:sz w:val="44"/>
          <w:szCs w:val="44"/>
        </w:rPr>
        <w:t>年</w:t>
      </w:r>
      <w:r>
        <w:rPr>
          <w:rFonts w:hint="eastAsia" w:ascii="仿宋_GB2312" w:hAnsi="黑体" w:eastAsia="仿宋_GB2312" w:cs="宋体"/>
          <w:b/>
          <w:bCs/>
          <w:kern w:val="0"/>
          <w:sz w:val="44"/>
          <w:szCs w:val="44"/>
          <w:lang w:eastAsia="zh-CN"/>
        </w:rPr>
        <w:t>度</w:t>
      </w:r>
    </w:p>
    <w:p>
      <w:pPr>
        <w:jc w:val="center"/>
        <w:rPr>
          <w:rFonts w:ascii="仿宋_GB2312" w:hAnsi="黑体" w:eastAsia="仿宋_GB2312" w:cs="宋体"/>
          <w:b/>
          <w:bCs/>
          <w:kern w:val="0"/>
          <w:sz w:val="24"/>
        </w:rPr>
      </w:pPr>
      <w:r>
        <w:rPr>
          <w:rFonts w:hint="eastAsia" w:ascii="仿宋_GB2312" w:hAnsi="黑体" w:eastAsia="仿宋_GB2312" w:cs="宋体"/>
          <w:b/>
          <w:bCs/>
          <w:kern w:val="0"/>
          <w:sz w:val="44"/>
          <w:szCs w:val="44"/>
          <w:lang w:eastAsia="zh-CN"/>
        </w:rPr>
        <w:t>三亚市诉调对接服务中心</w:t>
      </w:r>
      <w:r>
        <w:rPr>
          <w:rFonts w:hint="eastAsia" w:ascii="仿宋_GB2312" w:hAnsi="黑体" w:eastAsia="仿宋_GB2312" w:cs="宋体"/>
          <w:b/>
          <w:bCs/>
          <w:kern w:val="0"/>
          <w:sz w:val="44"/>
          <w:szCs w:val="44"/>
        </w:rPr>
        <w:t>项目</w:t>
      </w:r>
    </w:p>
    <w:p>
      <w:pPr>
        <w:rPr>
          <w:rFonts w:ascii="仿宋_GB2312" w:hAnsi="黑体" w:eastAsia="仿宋_GB2312" w:cs="宋体"/>
          <w:b/>
          <w:bCs/>
          <w:kern w:val="0"/>
          <w:sz w:val="24"/>
        </w:rPr>
      </w:pPr>
    </w:p>
    <w:p>
      <w:pPr>
        <w:rPr>
          <w:rFonts w:ascii="仿宋_GB2312" w:hAnsi="黑体" w:eastAsia="仿宋_GB2312" w:cs="宋体"/>
          <w:b/>
          <w:bCs/>
          <w:kern w:val="0"/>
          <w:sz w:val="24"/>
        </w:rPr>
      </w:pPr>
    </w:p>
    <w:p>
      <w:pPr>
        <w:rPr>
          <w:rFonts w:ascii="仿宋_GB2312" w:hAnsi="黑体" w:eastAsia="仿宋_GB2312" w:cs="宋体"/>
          <w:b/>
          <w:bCs/>
          <w:kern w:val="0"/>
          <w:sz w:val="24"/>
        </w:rPr>
      </w:pPr>
    </w:p>
    <w:p>
      <w:pPr>
        <w:rPr>
          <w:rFonts w:ascii="仿宋_GB2312" w:hAnsi="黑体" w:eastAsia="仿宋_GB2312" w:cs="宋体"/>
          <w:b/>
          <w:bCs/>
          <w:kern w:val="0"/>
          <w:sz w:val="24"/>
        </w:rPr>
      </w:pPr>
    </w:p>
    <w:p>
      <w:pPr>
        <w:rPr>
          <w:rFonts w:hint="eastAsia" w:ascii="仿宋_GB2312" w:hAnsi="黑体" w:eastAsia="仿宋_GB2312" w:cs="宋体"/>
          <w:b/>
          <w:bCs/>
          <w:kern w:val="0"/>
          <w:sz w:val="24"/>
        </w:rPr>
      </w:pPr>
    </w:p>
    <w:p>
      <w:pPr>
        <w:rPr>
          <w:rFonts w:ascii="仿宋_GB2312" w:hAnsi="黑体" w:eastAsia="仿宋_GB2312" w:cs="宋体"/>
          <w:b/>
          <w:bCs/>
          <w:kern w:val="0"/>
          <w:sz w:val="24"/>
        </w:rPr>
      </w:pPr>
    </w:p>
    <w:p>
      <w:pPr>
        <w:rPr>
          <w:rFonts w:ascii="仿宋_GB2312" w:hAnsi="黑体" w:eastAsia="仿宋_GB2312" w:cs="宋体"/>
          <w:b/>
          <w:bCs/>
          <w:kern w:val="0"/>
          <w:sz w:val="24"/>
        </w:rPr>
      </w:pPr>
    </w:p>
    <w:p>
      <w:pPr>
        <w:rPr>
          <w:rFonts w:ascii="仿宋_GB2312" w:hAnsi="黑体" w:eastAsia="仿宋_GB2312" w:cs="宋体"/>
          <w:b/>
          <w:bCs/>
          <w:kern w:val="0"/>
          <w:sz w:val="24"/>
        </w:rPr>
      </w:pPr>
    </w:p>
    <w:p>
      <w:pPr>
        <w:jc w:val="center"/>
        <w:rPr>
          <w:rFonts w:ascii="仿宋_GB2312" w:hAnsi="黑体" w:eastAsia="仿宋_GB2312" w:cs="宋体"/>
          <w:b/>
          <w:bCs/>
          <w:kern w:val="0"/>
          <w:sz w:val="72"/>
          <w:szCs w:val="72"/>
        </w:rPr>
      </w:pPr>
      <w:r>
        <w:rPr>
          <w:rFonts w:hint="eastAsia" w:ascii="仿宋_GB2312" w:hAnsi="黑体" w:eastAsia="仿宋_GB2312" w:cs="宋体"/>
          <w:b/>
          <w:bCs/>
          <w:kern w:val="0"/>
          <w:sz w:val="72"/>
          <w:szCs w:val="72"/>
        </w:rPr>
        <w:t>绩效评价报告</w:t>
      </w:r>
    </w:p>
    <w:p>
      <w:pPr>
        <w:jc w:val="center"/>
        <w:rPr>
          <w:rFonts w:ascii="黑体" w:hAnsi="黑体" w:eastAsia="黑体" w:cs="黑体"/>
          <w:sz w:val="52"/>
          <w:szCs w:val="52"/>
          <w:lang w:val="en"/>
        </w:rPr>
      </w:pPr>
    </w:p>
    <w:p>
      <w:pPr>
        <w:jc w:val="center"/>
        <w:rPr>
          <w:rFonts w:ascii="黑体" w:hAnsi="黑体" w:eastAsia="黑体" w:cs="黑体"/>
          <w:sz w:val="52"/>
          <w:szCs w:val="52"/>
          <w:lang w:val="en"/>
        </w:rPr>
      </w:pPr>
    </w:p>
    <w:p>
      <w:pPr>
        <w:jc w:val="center"/>
        <w:rPr>
          <w:rFonts w:ascii="黑体" w:hAnsi="黑体" w:eastAsia="黑体" w:cs="黑体"/>
          <w:sz w:val="52"/>
          <w:szCs w:val="52"/>
          <w:lang w:val="en"/>
        </w:rPr>
      </w:pPr>
    </w:p>
    <w:p>
      <w:pPr>
        <w:rPr>
          <w:rFonts w:ascii="黑体" w:hAnsi="黑体" w:eastAsia="黑体" w:cs="黑体"/>
          <w:sz w:val="52"/>
          <w:szCs w:val="52"/>
          <w:lang w:val="en"/>
        </w:rPr>
      </w:pPr>
    </w:p>
    <w:p>
      <w:pPr>
        <w:ind w:firstLine="1600" w:firstLineChars="500"/>
        <w:jc w:val="both"/>
        <w:rPr>
          <w:rFonts w:ascii="黑体" w:hAnsi="黑体" w:eastAsia="黑体" w:cs="黑体"/>
          <w:sz w:val="32"/>
          <w:szCs w:val="32"/>
        </w:rPr>
      </w:pPr>
      <w:r>
        <w:rPr>
          <w:rFonts w:hint="eastAsia" w:ascii="黑体" w:hAnsi="黑体" w:eastAsia="黑体" w:cs="黑体"/>
          <w:sz w:val="32"/>
          <w:szCs w:val="32"/>
        </w:rPr>
        <w:t>项目名称：</w:t>
      </w:r>
      <w:r>
        <w:rPr>
          <w:rFonts w:hint="eastAsia" w:ascii="黑体" w:hAnsi="黑体" w:eastAsia="黑体" w:cs="黑体"/>
          <w:sz w:val="32"/>
          <w:szCs w:val="32"/>
          <w:lang w:eastAsia="zh-CN"/>
        </w:rPr>
        <w:t>三亚市诉调对接服务中心</w:t>
      </w:r>
      <w:r>
        <w:rPr>
          <w:rFonts w:hint="eastAsia" w:ascii="黑体" w:hAnsi="黑体" w:eastAsia="黑体" w:cs="黑体"/>
          <w:spacing w:val="-2"/>
          <w:sz w:val="32"/>
          <w:szCs w:val="32"/>
        </w:rPr>
        <w:t>项目</w:t>
      </w:r>
    </w:p>
    <w:p>
      <w:pPr>
        <w:ind w:firstLine="1600" w:firstLineChars="500"/>
        <w:jc w:val="both"/>
        <w:rPr>
          <w:rFonts w:ascii="黑体" w:hAnsi="黑体" w:eastAsia="黑体" w:cs="黑体"/>
          <w:sz w:val="32"/>
          <w:szCs w:val="32"/>
        </w:rPr>
      </w:pPr>
      <w:r>
        <w:rPr>
          <w:rFonts w:hint="eastAsia" w:ascii="黑体" w:hAnsi="黑体" w:eastAsia="黑体" w:cs="黑体"/>
          <w:sz w:val="32"/>
          <w:szCs w:val="32"/>
        </w:rPr>
        <w:t>报告时间：202</w:t>
      </w:r>
      <w:r>
        <w:rPr>
          <w:rFonts w:hint="eastAsia" w:ascii="黑体" w:hAnsi="黑体" w:eastAsia="黑体" w:cs="黑体"/>
          <w:sz w:val="32"/>
          <w:szCs w:val="32"/>
          <w:lang w:val="en-US" w:eastAsia="zh-CN"/>
        </w:rPr>
        <w:t>5</w:t>
      </w:r>
      <w:r>
        <w:rPr>
          <w:rFonts w:hint="eastAsia" w:ascii="黑体" w:hAnsi="黑体" w:eastAsia="黑体" w:cs="黑体"/>
          <w:sz w:val="32"/>
          <w:szCs w:val="32"/>
        </w:rPr>
        <w:t>年</w:t>
      </w:r>
      <w:r>
        <w:rPr>
          <w:rFonts w:hint="eastAsia" w:ascii="黑体" w:hAnsi="黑体" w:eastAsia="黑体" w:cs="黑体"/>
          <w:sz w:val="32"/>
          <w:szCs w:val="32"/>
          <w:lang w:val="en-US" w:eastAsia="zh-CN"/>
        </w:rPr>
        <w:t>4</w:t>
      </w:r>
      <w:r>
        <w:rPr>
          <w:rFonts w:hint="eastAsia" w:ascii="黑体" w:hAnsi="黑体" w:eastAsia="黑体" w:cs="黑体"/>
          <w:sz w:val="32"/>
          <w:szCs w:val="32"/>
        </w:rPr>
        <w:t>月</w:t>
      </w:r>
      <w:r>
        <w:rPr>
          <w:rFonts w:hint="eastAsia" w:ascii="黑体" w:hAnsi="黑体" w:eastAsia="黑体" w:cs="黑体"/>
          <w:sz w:val="32"/>
          <w:szCs w:val="32"/>
          <w:lang w:val="en-US" w:eastAsia="zh-CN"/>
        </w:rPr>
        <w:t>27</w:t>
      </w:r>
      <w:r>
        <w:rPr>
          <w:rFonts w:hint="eastAsia" w:ascii="黑体" w:hAnsi="黑体" w:eastAsia="黑体" w:cs="黑体"/>
          <w:sz w:val="32"/>
          <w:szCs w:val="32"/>
        </w:rPr>
        <w:t>日</w:t>
      </w:r>
    </w:p>
    <w:p>
      <w:pPr>
        <w:ind w:firstLine="320" w:firstLineChars="100"/>
        <w:rPr>
          <w:rFonts w:hint="eastAsia" w:ascii="黑体" w:hAnsi="黑体" w:eastAsia="黑体" w:cs="黑体"/>
          <w:sz w:val="32"/>
          <w:szCs w:val="32"/>
        </w:rPr>
      </w:pPr>
    </w:p>
    <w:p>
      <w:pPr>
        <w:ind w:firstLine="320" w:firstLineChars="100"/>
        <w:rPr>
          <w:rFonts w:hint="eastAsia" w:ascii="黑体" w:hAnsi="黑体" w:eastAsia="黑体" w:cs="黑体"/>
          <w:sz w:val="32"/>
          <w:szCs w:val="32"/>
        </w:rPr>
      </w:pPr>
    </w:p>
    <w:p>
      <w:pPr>
        <w:ind w:firstLine="320" w:firstLineChars="100"/>
        <w:rPr>
          <w:rFonts w:hint="eastAsia" w:ascii="黑体" w:hAnsi="黑体" w:eastAsia="黑体" w:cs="黑体"/>
          <w:sz w:val="32"/>
          <w:szCs w:val="32"/>
        </w:rPr>
      </w:pPr>
    </w:p>
    <w:p>
      <w:pPr>
        <w:ind w:firstLine="320" w:firstLineChars="100"/>
        <w:rPr>
          <w:rFonts w:hint="eastAsia" w:ascii="黑体" w:hAnsi="黑体" w:eastAsia="黑体" w:cs="黑体"/>
          <w:sz w:val="32"/>
          <w:szCs w:val="32"/>
        </w:rPr>
      </w:pPr>
    </w:p>
    <w:p>
      <w:pPr>
        <w:ind w:firstLine="320" w:firstLineChars="100"/>
        <w:rPr>
          <w:rFonts w:hint="eastAsia" w:ascii="黑体" w:hAnsi="黑体" w:eastAsia="黑体" w:cs="黑体"/>
          <w:sz w:val="32"/>
          <w:szCs w:val="32"/>
        </w:rPr>
      </w:pPr>
    </w:p>
    <w:tbl>
      <w:tblPr>
        <w:tblStyle w:val="9"/>
        <w:tblW w:w="9457" w:type="dxa"/>
        <w:jc w:val="center"/>
        <w:tblLayout w:type="fixed"/>
        <w:tblCellMar>
          <w:top w:w="0" w:type="dxa"/>
          <w:left w:w="108" w:type="dxa"/>
          <w:bottom w:w="0" w:type="dxa"/>
          <w:right w:w="108" w:type="dxa"/>
        </w:tblCellMar>
      </w:tblPr>
      <w:tblGrid>
        <w:gridCol w:w="2022"/>
        <w:gridCol w:w="1511"/>
        <w:gridCol w:w="1424"/>
        <w:gridCol w:w="1701"/>
        <w:gridCol w:w="1389"/>
        <w:gridCol w:w="1410"/>
      </w:tblGrid>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项目名称</w:t>
            </w:r>
          </w:p>
        </w:tc>
        <w:tc>
          <w:tcPr>
            <w:tcW w:w="293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lang w:eastAsia="zh-CN"/>
              </w:rPr>
              <w:t>三亚市诉调对接服务中心</w:t>
            </w:r>
            <w:r>
              <w:rPr>
                <w:rFonts w:hint="eastAsia" w:ascii="仿宋_GB2312" w:hAnsi="宋体" w:eastAsia="仿宋_GB2312" w:cs="宋体"/>
                <w:color w:val="000000"/>
                <w:sz w:val="22"/>
                <w:szCs w:val="22"/>
              </w:rPr>
              <w:t>项目</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评价年度</w:t>
            </w:r>
          </w:p>
        </w:tc>
        <w:tc>
          <w:tcPr>
            <w:tcW w:w="279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lang w:eastAsia="zh-CN"/>
              </w:rPr>
              <w:t>202</w:t>
            </w:r>
            <w:r>
              <w:rPr>
                <w:rFonts w:hint="eastAsia" w:ascii="仿宋_GB2312" w:hAnsi="宋体" w:eastAsia="仿宋_GB2312" w:cs="宋体"/>
                <w:color w:val="000000"/>
                <w:sz w:val="22"/>
                <w:szCs w:val="22"/>
                <w:lang w:val="en-US" w:eastAsia="zh-CN"/>
              </w:rPr>
              <w:t>4</w:t>
            </w:r>
            <w:r>
              <w:rPr>
                <w:rFonts w:hint="eastAsia" w:ascii="仿宋_GB2312" w:hAnsi="宋体" w:eastAsia="仿宋_GB2312" w:cs="宋体"/>
                <w:color w:val="000000"/>
                <w:sz w:val="22"/>
                <w:szCs w:val="22"/>
                <w:lang w:eastAsia="zh-CN"/>
              </w:rPr>
              <w:t>年</w:t>
            </w:r>
            <w:r>
              <w:rPr>
                <w:rFonts w:hint="eastAsia" w:ascii="仿宋_GB2312" w:hAnsi="宋体" w:eastAsia="仿宋_GB2312" w:cs="宋体"/>
                <w:color w:val="000000"/>
                <w:sz w:val="22"/>
                <w:szCs w:val="22"/>
              </w:rPr>
              <w:t>度</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主管部门</w:t>
            </w:r>
          </w:p>
        </w:tc>
        <w:tc>
          <w:tcPr>
            <w:tcW w:w="293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lang w:eastAsia="zh-CN"/>
              </w:rPr>
              <w:t>海南省三亚市中级人民法院</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联系人</w:t>
            </w:r>
          </w:p>
        </w:tc>
        <w:tc>
          <w:tcPr>
            <w:tcW w:w="279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宋体"/>
                <w:color w:val="000000"/>
                <w:sz w:val="22"/>
                <w:szCs w:val="22"/>
                <w:lang w:eastAsia="zh-CN"/>
              </w:rPr>
            </w:pPr>
            <w:r>
              <w:rPr>
                <w:rFonts w:hint="eastAsia" w:ascii="仿宋_GB2312" w:hAnsi="宋体" w:eastAsia="仿宋_GB2312" w:cs="宋体"/>
                <w:color w:val="000000"/>
                <w:sz w:val="22"/>
                <w:szCs w:val="22"/>
                <w:lang w:eastAsia="zh-CN"/>
              </w:rPr>
              <w:t>曹雄</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项目单位</w:t>
            </w:r>
          </w:p>
        </w:tc>
        <w:tc>
          <w:tcPr>
            <w:tcW w:w="293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lang w:eastAsia="zh-CN"/>
              </w:rPr>
              <w:t>海南省三亚市中级人民法院</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联系方式</w:t>
            </w:r>
          </w:p>
        </w:tc>
        <w:tc>
          <w:tcPr>
            <w:tcW w:w="279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2"/>
                <w:szCs w:val="22"/>
              </w:rPr>
            </w:pPr>
            <w:r>
              <w:rPr>
                <w:rFonts w:ascii="仿宋_GB2312" w:hAnsi="宋体" w:eastAsia="仿宋_GB2312" w:cs="宋体"/>
                <w:color w:val="000000"/>
                <w:sz w:val="22"/>
                <w:szCs w:val="22"/>
              </w:rPr>
              <w:t>18</w:t>
            </w:r>
            <w:r>
              <w:rPr>
                <w:rFonts w:hint="eastAsia" w:ascii="仿宋_GB2312" w:hAnsi="宋体" w:eastAsia="仿宋_GB2312" w:cs="宋体"/>
                <w:color w:val="000000"/>
                <w:sz w:val="22"/>
                <w:szCs w:val="22"/>
                <w:lang w:val="en-US" w:eastAsia="zh-CN"/>
              </w:rPr>
              <w:t>976609108</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自评分值</w:t>
            </w:r>
          </w:p>
        </w:tc>
        <w:tc>
          <w:tcPr>
            <w:tcW w:w="293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宋体"/>
                <w:color w:val="000000"/>
                <w:sz w:val="22"/>
                <w:szCs w:val="22"/>
                <w:lang w:val="en-US" w:eastAsia="zh-CN"/>
              </w:rPr>
            </w:pPr>
            <w:r>
              <w:rPr>
                <w:rFonts w:hint="eastAsia" w:ascii="仿宋_GB2312" w:hAnsi="宋体" w:eastAsia="仿宋_GB2312" w:cs="宋体"/>
                <w:color w:val="000000"/>
                <w:sz w:val="22"/>
                <w:szCs w:val="22"/>
                <w:lang w:val="en-US" w:eastAsia="zh-CN"/>
              </w:rPr>
              <w:t>100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自评等级</w:t>
            </w:r>
          </w:p>
        </w:tc>
        <w:tc>
          <w:tcPr>
            <w:tcW w:w="279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宋体"/>
                <w:color w:val="000000"/>
                <w:sz w:val="22"/>
                <w:szCs w:val="22"/>
                <w:lang w:eastAsia="zh-CN"/>
              </w:rPr>
            </w:pPr>
            <w:r>
              <w:rPr>
                <w:rFonts w:hint="eastAsia" w:ascii="仿宋_GB2312" w:hAnsi="宋体" w:eastAsia="仿宋_GB2312" w:cs="宋体"/>
                <w:color w:val="000000"/>
                <w:sz w:val="22"/>
                <w:szCs w:val="22"/>
                <w:lang w:eastAsia="zh-CN"/>
              </w:rPr>
              <w:t>优</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auto"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eastAsia="zh-CN" w:bidi="ar"/>
              </w:rPr>
              <w:t>部门</w:t>
            </w:r>
            <w:r>
              <w:rPr>
                <w:rFonts w:hint="eastAsia" w:ascii="仿宋_GB2312" w:hAnsi="宋体" w:eastAsia="仿宋_GB2312" w:cs="宋体"/>
                <w:color w:val="000000"/>
                <w:kern w:val="0"/>
                <w:sz w:val="22"/>
                <w:szCs w:val="22"/>
                <w:lang w:bidi="ar"/>
              </w:rPr>
              <w:t>评价分值</w:t>
            </w:r>
          </w:p>
        </w:tc>
        <w:tc>
          <w:tcPr>
            <w:tcW w:w="293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lang w:val="en-US" w:eastAsia="zh-CN"/>
              </w:rPr>
              <w:t>98</w:t>
            </w:r>
            <w:r>
              <w:rPr>
                <w:rFonts w:hint="eastAsia" w:ascii="仿宋_GB2312" w:hAnsi="宋体" w:eastAsia="仿宋_GB2312" w:cs="宋体"/>
                <w:color w:val="000000"/>
                <w:sz w:val="22"/>
                <w:szCs w:val="22"/>
              </w:rPr>
              <w:t>分</w:t>
            </w:r>
          </w:p>
        </w:tc>
        <w:tc>
          <w:tcPr>
            <w:tcW w:w="1701" w:type="dxa"/>
            <w:tcBorders>
              <w:top w:val="single" w:color="000000" w:sz="4" w:space="0"/>
              <w:left w:val="single" w:color="000000" w:sz="4" w:space="0"/>
              <w:bottom w:val="single" w:color="auto"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eastAsia="zh-CN" w:bidi="ar"/>
              </w:rPr>
              <w:t>部门</w:t>
            </w:r>
            <w:r>
              <w:rPr>
                <w:rFonts w:hint="eastAsia" w:ascii="仿宋_GB2312" w:hAnsi="宋体" w:eastAsia="仿宋_GB2312" w:cs="宋体"/>
                <w:color w:val="000000"/>
                <w:kern w:val="0"/>
                <w:sz w:val="22"/>
                <w:szCs w:val="22"/>
                <w:lang w:bidi="ar"/>
              </w:rPr>
              <w:t>评价等级</w:t>
            </w:r>
          </w:p>
        </w:tc>
        <w:tc>
          <w:tcPr>
            <w:tcW w:w="279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rPr>
              <w:t>优</w:t>
            </w:r>
          </w:p>
        </w:tc>
      </w:tr>
      <w:tr>
        <w:tblPrEx>
          <w:tblCellMar>
            <w:top w:w="0" w:type="dxa"/>
            <w:left w:w="108" w:type="dxa"/>
            <w:bottom w:w="0" w:type="dxa"/>
            <w:right w:w="108" w:type="dxa"/>
          </w:tblCellMar>
        </w:tblPrEx>
        <w:trPr>
          <w:trHeight w:val="652" w:hRule="atLeast"/>
          <w:jc w:val="center"/>
        </w:trPr>
        <w:tc>
          <w:tcPr>
            <w:tcW w:w="2022" w:type="dxa"/>
            <w:vMerge w:val="restart"/>
            <w:tcBorders>
              <w:top w:val="single" w:color="auto" w:sz="4" w:space="0"/>
              <w:left w:val="single" w:color="auto" w:sz="4" w:space="0"/>
              <w:right w:val="single" w:color="auto"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资金总额</w:t>
            </w:r>
          </w:p>
        </w:tc>
        <w:tc>
          <w:tcPr>
            <w:tcW w:w="1511" w:type="dxa"/>
            <w:vMerge w:val="restart"/>
            <w:tcBorders>
              <w:top w:val="single" w:color="000000" w:sz="4" w:space="0"/>
              <w:left w:val="single" w:color="auto" w:sz="4" w:space="0"/>
              <w:right w:val="single" w:color="000000" w:sz="4" w:space="0"/>
            </w:tcBorders>
            <w:vAlign w:val="center"/>
          </w:tcPr>
          <w:p>
            <w:pPr>
              <w:jc w:val="right"/>
              <w:rPr>
                <w:rFonts w:ascii="仿宋_GB2312" w:eastAsia="仿宋_GB2312"/>
              </w:rPr>
            </w:pPr>
            <w:r>
              <w:rPr>
                <w:rFonts w:hint="eastAsia" w:ascii="仿宋_GB2312" w:eastAsia="仿宋_GB2312"/>
                <w:lang w:val="en-US" w:eastAsia="zh-CN"/>
              </w:rPr>
              <w:t>1000</w:t>
            </w:r>
            <w:r>
              <w:rPr>
                <w:rFonts w:hint="eastAsia" w:ascii="仿宋_GB2312" w:eastAsia="仿宋_GB2312"/>
              </w:rPr>
              <w:t>万元</w:t>
            </w:r>
          </w:p>
        </w:tc>
        <w:tc>
          <w:tcPr>
            <w:tcW w:w="1424" w:type="dxa"/>
            <w:tcBorders>
              <w:top w:val="single" w:color="000000" w:sz="4" w:space="0"/>
              <w:left w:val="single" w:color="000000" w:sz="4" w:space="0"/>
              <w:right w:val="single" w:color="auto" w:sz="4" w:space="0"/>
            </w:tcBorders>
            <w:vAlign w:val="center"/>
          </w:tcPr>
          <w:p>
            <w:pPr>
              <w:widowControl/>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中央资金</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olor w:val="000000"/>
                <w:kern w:val="0"/>
                <w:sz w:val="22"/>
                <w:szCs w:val="22"/>
              </w:rPr>
            </w:pPr>
            <w:r>
              <w:rPr>
                <w:rFonts w:hint="eastAsia" w:ascii="仿宋_GB2312" w:hAnsi="宋体" w:eastAsia="仿宋_GB2312"/>
                <w:color w:val="000000"/>
                <w:kern w:val="0"/>
                <w:sz w:val="22"/>
                <w:szCs w:val="22"/>
              </w:rPr>
              <w:t>-</w:t>
            </w:r>
          </w:p>
        </w:tc>
        <w:tc>
          <w:tcPr>
            <w:tcW w:w="1389" w:type="dxa"/>
            <w:tcBorders>
              <w:top w:val="single" w:color="000000" w:sz="4" w:space="0"/>
              <w:left w:val="single" w:color="auto" w:sz="4" w:space="0"/>
              <w:right w:val="single" w:color="auto" w:sz="4" w:space="0"/>
            </w:tcBorders>
            <w:vAlign w:val="center"/>
          </w:tcPr>
          <w:p>
            <w:pPr>
              <w:widowControl/>
              <w:ind w:right="-105" w:rightChars="-50"/>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spacing w:val="-4"/>
                <w:kern w:val="0"/>
                <w:sz w:val="22"/>
                <w:szCs w:val="22"/>
                <w:lang w:bidi="ar"/>
              </w:rPr>
              <w:t>省级财政资金</w:t>
            </w:r>
          </w:p>
        </w:tc>
        <w:tc>
          <w:tcPr>
            <w:tcW w:w="14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olor w:val="000000"/>
                <w:kern w:val="0"/>
                <w:sz w:val="22"/>
                <w:szCs w:val="22"/>
              </w:rPr>
            </w:pPr>
            <w:r>
              <w:rPr>
                <w:rFonts w:hint="eastAsia" w:ascii="仿宋_GB2312" w:hAnsi="宋体" w:eastAsia="仿宋_GB2312"/>
                <w:color w:val="000000"/>
                <w:kern w:val="0"/>
                <w:sz w:val="22"/>
                <w:szCs w:val="22"/>
              </w:rPr>
              <w:t>-</w:t>
            </w:r>
          </w:p>
        </w:tc>
      </w:tr>
      <w:tr>
        <w:tblPrEx>
          <w:tblCellMar>
            <w:top w:w="0" w:type="dxa"/>
            <w:left w:w="108" w:type="dxa"/>
            <w:bottom w:w="0" w:type="dxa"/>
            <w:right w:w="108" w:type="dxa"/>
          </w:tblCellMar>
        </w:tblPrEx>
        <w:trPr>
          <w:trHeight w:val="652" w:hRule="atLeast"/>
          <w:jc w:val="center"/>
        </w:trPr>
        <w:tc>
          <w:tcPr>
            <w:tcW w:w="2022" w:type="dxa"/>
            <w:vMerge w:val="continue"/>
            <w:tcBorders>
              <w:left w:val="single" w:color="auto" w:sz="4" w:space="0"/>
              <w:bottom w:val="single" w:color="000000" w:sz="4" w:space="0"/>
              <w:right w:val="single" w:color="auto" w:sz="4" w:space="0"/>
            </w:tcBorders>
            <w:vAlign w:val="center"/>
          </w:tcPr>
          <w:p>
            <w:pPr>
              <w:widowControl/>
              <w:jc w:val="left"/>
              <w:textAlignment w:val="center"/>
              <w:rPr>
                <w:rFonts w:ascii="仿宋_GB2312" w:hAnsi="宋体" w:eastAsia="仿宋_GB2312" w:cs="宋体"/>
                <w:color w:val="000000"/>
                <w:kern w:val="0"/>
                <w:sz w:val="22"/>
                <w:szCs w:val="22"/>
                <w:lang w:bidi="ar"/>
              </w:rPr>
            </w:pPr>
          </w:p>
        </w:tc>
        <w:tc>
          <w:tcPr>
            <w:tcW w:w="1511" w:type="dxa"/>
            <w:vMerge w:val="continue"/>
            <w:tcBorders>
              <w:left w:val="single" w:color="auto" w:sz="4" w:space="0"/>
              <w:bottom w:val="single" w:color="000000" w:sz="4" w:space="0"/>
              <w:right w:val="single" w:color="000000" w:sz="4" w:space="0"/>
            </w:tcBorders>
            <w:vAlign w:val="center"/>
          </w:tcPr>
          <w:p>
            <w:pPr>
              <w:rPr>
                <w:rFonts w:ascii="仿宋_GB2312" w:hAnsi="宋体" w:eastAsia="仿宋_GB2312" w:cs="宋体"/>
                <w:color w:val="000000"/>
                <w:sz w:val="22"/>
                <w:szCs w:val="22"/>
              </w:rPr>
            </w:pPr>
          </w:p>
        </w:tc>
        <w:tc>
          <w:tcPr>
            <w:tcW w:w="1424" w:type="dxa"/>
            <w:tcBorders>
              <w:top w:val="single" w:color="000000" w:sz="4" w:space="0"/>
              <w:left w:val="single" w:color="000000" w:sz="4" w:space="0"/>
              <w:bottom w:val="single" w:color="000000" w:sz="4" w:space="0"/>
              <w:right w:val="single" w:color="000000" w:sz="4" w:space="0"/>
            </w:tcBorders>
            <w:vAlign w:val="center"/>
          </w:tcPr>
          <w:p>
            <w:pPr>
              <w:widowControl/>
              <w:ind w:right="-105" w:rightChars="-50"/>
              <w:jc w:val="left"/>
              <w:textAlignment w:val="center"/>
              <w:rPr>
                <w:rFonts w:ascii="仿宋_GB2312" w:hAnsi="宋体" w:eastAsia="仿宋_GB2312" w:cs="宋体"/>
                <w:color w:val="000000"/>
                <w:spacing w:val="-4"/>
                <w:kern w:val="0"/>
                <w:sz w:val="22"/>
                <w:szCs w:val="22"/>
                <w:lang w:bidi="ar"/>
              </w:rPr>
            </w:pPr>
            <w:r>
              <w:rPr>
                <w:rFonts w:hint="eastAsia" w:ascii="仿宋_GB2312" w:hAnsi="宋体" w:eastAsia="仿宋_GB2312" w:cs="宋体"/>
                <w:color w:val="000000"/>
                <w:spacing w:val="-4"/>
                <w:kern w:val="0"/>
                <w:sz w:val="22"/>
                <w:szCs w:val="22"/>
                <w:lang w:bidi="ar"/>
              </w:rPr>
              <w:t>市级财政资金</w:t>
            </w:r>
          </w:p>
        </w:tc>
        <w:tc>
          <w:tcPr>
            <w:tcW w:w="1701" w:type="dxa"/>
            <w:tcBorders>
              <w:top w:val="single" w:color="auto" w:sz="4" w:space="0"/>
              <w:left w:val="single" w:color="000000" w:sz="4" w:space="0"/>
              <w:bottom w:val="single" w:color="000000" w:sz="4" w:space="0"/>
              <w:right w:val="single" w:color="000000" w:sz="4" w:space="0"/>
            </w:tcBorders>
            <w:vAlign w:val="center"/>
          </w:tcPr>
          <w:p>
            <w:pPr>
              <w:jc w:val="right"/>
              <w:rPr>
                <w:rFonts w:ascii="仿宋_GB2312" w:hAnsi="宋体" w:eastAsia="仿宋_GB2312" w:cs="宋体"/>
                <w:color w:val="000000"/>
                <w:sz w:val="22"/>
                <w:szCs w:val="22"/>
              </w:rPr>
            </w:pPr>
            <w:r>
              <w:rPr>
                <w:rFonts w:hint="eastAsia" w:ascii="仿宋_GB2312" w:eastAsia="仿宋_GB2312"/>
                <w:lang w:val="en-US" w:eastAsia="zh-CN"/>
              </w:rPr>
              <w:t>1000</w:t>
            </w:r>
            <w:r>
              <w:rPr>
                <w:rFonts w:hint="eastAsia" w:ascii="仿宋_GB2312" w:eastAsia="仿宋_GB2312"/>
              </w:rPr>
              <w:t>万元</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kern w:val="0"/>
                <w:sz w:val="22"/>
                <w:szCs w:val="22"/>
                <w:lang w:bidi="ar"/>
              </w:rPr>
            </w:pPr>
            <w:r>
              <w:rPr>
                <w:rFonts w:hint="eastAsia" w:ascii="仿宋_GB2312" w:hAnsi="宋体" w:eastAsia="仿宋_GB2312" w:cs="宋体"/>
                <w:color w:val="000000"/>
                <w:kern w:val="0"/>
                <w:sz w:val="22"/>
                <w:szCs w:val="22"/>
                <w:lang w:bidi="ar"/>
              </w:rPr>
              <w:t>区（县）级财政资金</w:t>
            </w:r>
          </w:p>
        </w:tc>
        <w:tc>
          <w:tcPr>
            <w:tcW w:w="1410" w:type="dxa"/>
            <w:tcBorders>
              <w:top w:val="single" w:color="auto" w:sz="4" w:space="0"/>
              <w:left w:val="single" w:color="000000" w:sz="4" w:space="0"/>
              <w:bottom w:val="single" w:color="000000" w:sz="4" w:space="0"/>
              <w:right w:val="single" w:color="000000" w:sz="4" w:space="0"/>
            </w:tcBorders>
            <w:vAlign w:val="center"/>
          </w:tcPr>
          <w:p>
            <w:pPr>
              <w:jc w:val="right"/>
              <w:rPr>
                <w:rFonts w:ascii="仿宋_GB2312" w:hAnsi="宋体" w:eastAsia="仿宋_GB2312" w:cs="宋体"/>
                <w:color w:val="000000"/>
                <w:sz w:val="22"/>
                <w:szCs w:val="22"/>
              </w:rPr>
            </w:pPr>
            <w:r>
              <w:rPr>
                <w:rFonts w:hint="eastAsia" w:ascii="仿宋_GB2312" w:hAnsi="宋体" w:eastAsia="仿宋_GB2312" w:cs="宋体"/>
                <w:color w:val="000000"/>
                <w:sz w:val="22"/>
                <w:szCs w:val="22"/>
              </w:rPr>
              <w:t>-</w:t>
            </w:r>
          </w:p>
        </w:tc>
      </w:tr>
      <w:tr>
        <w:tblPrEx>
          <w:tblCellMar>
            <w:top w:w="0" w:type="dxa"/>
            <w:left w:w="108" w:type="dxa"/>
            <w:bottom w:w="0" w:type="dxa"/>
            <w:right w:w="108" w:type="dxa"/>
          </w:tblCellMar>
        </w:tblPrEx>
        <w:trPr>
          <w:trHeight w:val="652" w:hRule="atLeast"/>
          <w:jc w:val="center"/>
        </w:trPr>
        <w:tc>
          <w:tcPr>
            <w:tcW w:w="2022" w:type="dxa"/>
            <w:tcBorders>
              <w:top w:val="single" w:color="auto"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涉及市县数或项目点</w:t>
            </w:r>
          </w:p>
        </w:tc>
        <w:tc>
          <w:tcPr>
            <w:tcW w:w="1511" w:type="dxa"/>
            <w:tcBorders>
              <w:top w:val="single" w:color="000000" w:sz="4" w:space="0"/>
              <w:left w:val="single" w:color="000000" w:sz="4" w:space="0"/>
              <w:bottom w:val="single" w:color="000000" w:sz="4" w:space="0"/>
              <w:right w:val="single" w:color="000000" w:sz="4" w:space="0"/>
            </w:tcBorders>
            <w:vAlign w:val="center"/>
          </w:tcPr>
          <w:p>
            <w:pPr>
              <w:rPr>
                <w:rFonts w:ascii="仿宋_GB2312" w:hAnsi="宋体" w:eastAsia="仿宋_GB2312" w:cs="宋体"/>
                <w:color w:val="000000"/>
                <w:sz w:val="22"/>
                <w:szCs w:val="22"/>
              </w:rPr>
            </w:pPr>
            <w:r>
              <w:rPr>
                <w:rFonts w:hint="eastAsia" w:ascii="仿宋_GB2312" w:hAnsi="宋体" w:eastAsia="仿宋_GB2312" w:cs="宋体"/>
                <w:color w:val="000000"/>
                <w:sz w:val="22"/>
                <w:szCs w:val="22"/>
              </w:rPr>
              <w:t>1</w:t>
            </w:r>
          </w:p>
        </w:tc>
        <w:tc>
          <w:tcPr>
            <w:tcW w:w="14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检查市县数或项目点</w:t>
            </w:r>
          </w:p>
        </w:tc>
        <w:tc>
          <w:tcPr>
            <w:tcW w:w="1701" w:type="dxa"/>
            <w:tcBorders>
              <w:top w:val="single" w:color="auto" w:sz="4" w:space="0"/>
              <w:left w:val="single" w:color="000000" w:sz="4" w:space="0"/>
              <w:bottom w:val="single" w:color="000000" w:sz="4" w:space="0"/>
              <w:right w:val="single" w:color="000000" w:sz="4" w:space="0"/>
            </w:tcBorders>
            <w:vAlign w:val="center"/>
          </w:tcPr>
          <w:p>
            <w:pPr>
              <w:rPr>
                <w:rFonts w:ascii="仿宋_GB2312" w:hAnsi="宋体" w:eastAsia="仿宋_GB2312" w:cs="宋体"/>
                <w:color w:val="000000"/>
                <w:sz w:val="22"/>
                <w:szCs w:val="22"/>
              </w:rPr>
            </w:pPr>
            <w:r>
              <w:rPr>
                <w:rFonts w:hint="eastAsia" w:ascii="仿宋_GB2312" w:hAnsi="宋体" w:eastAsia="仿宋_GB2312" w:cs="宋体"/>
                <w:color w:val="000000"/>
                <w:sz w:val="22"/>
                <w:szCs w:val="22"/>
              </w:rPr>
              <w:t>1</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检查区域</w:t>
            </w:r>
          </w:p>
        </w:tc>
        <w:tc>
          <w:tcPr>
            <w:tcW w:w="1410" w:type="dxa"/>
            <w:tcBorders>
              <w:top w:val="single" w:color="auto" w:sz="4" w:space="0"/>
              <w:left w:val="single" w:color="000000" w:sz="4" w:space="0"/>
              <w:bottom w:val="single" w:color="000000" w:sz="4" w:space="0"/>
              <w:right w:val="single" w:color="000000" w:sz="4" w:space="0"/>
            </w:tcBorders>
            <w:vAlign w:val="center"/>
          </w:tcPr>
          <w:p>
            <w:pPr>
              <w:rPr>
                <w:rFonts w:hint="eastAsia" w:ascii="仿宋_GB2312" w:hAnsi="宋体" w:eastAsia="仿宋_GB2312" w:cs="宋体"/>
                <w:color w:val="000000"/>
                <w:sz w:val="22"/>
                <w:szCs w:val="22"/>
                <w:lang w:eastAsia="zh-CN"/>
              </w:rPr>
            </w:pPr>
            <w:r>
              <w:rPr>
                <w:rFonts w:hint="eastAsia" w:ascii="仿宋_GB2312" w:hAnsi="宋体" w:eastAsia="仿宋_GB2312" w:cs="宋体"/>
                <w:color w:val="000000"/>
                <w:sz w:val="22"/>
                <w:szCs w:val="22"/>
                <w:lang w:eastAsia="zh-CN"/>
              </w:rPr>
              <w:t>天涯区海田路</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发放调查问卷</w:t>
            </w:r>
          </w:p>
        </w:tc>
        <w:tc>
          <w:tcPr>
            <w:tcW w:w="1511" w:type="dxa"/>
            <w:tcBorders>
              <w:top w:val="single" w:color="000000" w:sz="4" w:space="0"/>
              <w:left w:val="single" w:color="000000" w:sz="4" w:space="0"/>
              <w:bottom w:val="single" w:color="000000" w:sz="4" w:space="0"/>
              <w:right w:val="single" w:color="000000" w:sz="4" w:space="0"/>
            </w:tcBorders>
            <w:vAlign w:val="center"/>
          </w:tcPr>
          <w:p>
            <w:pPr>
              <w:rPr>
                <w:rFonts w:ascii="仿宋_GB2312" w:hAnsi="宋体" w:eastAsia="仿宋_GB2312" w:cs="宋体"/>
                <w:color w:val="000000"/>
                <w:sz w:val="22"/>
                <w:szCs w:val="22"/>
              </w:rPr>
            </w:pPr>
            <w:r>
              <w:rPr>
                <w:rFonts w:hint="eastAsia" w:ascii="仿宋_GB2312" w:hAnsi="宋体" w:eastAsia="仿宋_GB2312" w:cs="宋体"/>
                <w:color w:val="000000"/>
                <w:sz w:val="22"/>
                <w:szCs w:val="22"/>
              </w:rPr>
              <w:t>3</w:t>
            </w:r>
            <w:r>
              <w:rPr>
                <w:rFonts w:ascii="仿宋_GB2312" w:hAnsi="宋体" w:eastAsia="仿宋_GB2312" w:cs="宋体"/>
                <w:color w:val="000000"/>
                <w:sz w:val="22"/>
                <w:szCs w:val="22"/>
              </w:rPr>
              <w:t>0</w:t>
            </w:r>
            <w:r>
              <w:rPr>
                <w:rFonts w:hint="eastAsia" w:ascii="仿宋_GB2312" w:hAnsi="宋体" w:eastAsia="仿宋_GB2312" w:cs="宋体"/>
                <w:color w:val="000000"/>
                <w:sz w:val="22"/>
                <w:szCs w:val="22"/>
              </w:rPr>
              <w:t>份</w:t>
            </w:r>
          </w:p>
        </w:tc>
        <w:tc>
          <w:tcPr>
            <w:tcW w:w="14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有效调查问卷</w:t>
            </w:r>
          </w:p>
        </w:tc>
        <w:tc>
          <w:tcPr>
            <w:tcW w:w="1701" w:type="dxa"/>
            <w:tcBorders>
              <w:top w:val="single" w:color="000000" w:sz="4" w:space="0"/>
              <w:left w:val="single" w:color="000000" w:sz="4" w:space="0"/>
              <w:bottom w:val="single" w:color="000000" w:sz="4" w:space="0"/>
              <w:right w:val="single" w:color="000000" w:sz="4" w:space="0"/>
            </w:tcBorders>
            <w:vAlign w:val="center"/>
          </w:tcPr>
          <w:p>
            <w:pPr>
              <w:rPr>
                <w:rFonts w:ascii="仿宋_GB2312" w:hAnsi="宋体" w:eastAsia="仿宋_GB2312" w:cs="宋体"/>
                <w:color w:val="000000"/>
                <w:sz w:val="22"/>
                <w:szCs w:val="22"/>
              </w:rPr>
            </w:pPr>
            <w:r>
              <w:rPr>
                <w:rFonts w:hint="eastAsia" w:ascii="仿宋_GB2312" w:hAnsi="宋体" w:eastAsia="仿宋_GB2312" w:cs="宋体"/>
                <w:color w:val="000000"/>
                <w:sz w:val="22"/>
                <w:szCs w:val="22"/>
              </w:rPr>
              <w:t>3</w:t>
            </w:r>
            <w:r>
              <w:rPr>
                <w:rFonts w:ascii="仿宋_GB2312" w:hAnsi="宋体" w:eastAsia="仿宋_GB2312" w:cs="宋体"/>
                <w:color w:val="000000"/>
                <w:sz w:val="22"/>
                <w:szCs w:val="22"/>
              </w:rPr>
              <w:t>0</w:t>
            </w:r>
            <w:r>
              <w:rPr>
                <w:rFonts w:hint="eastAsia" w:ascii="仿宋_GB2312" w:hAnsi="宋体" w:eastAsia="仿宋_GB2312" w:cs="宋体"/>
                <w:color w:val="000000"/>
                <w:sz w:val="22"/>
                <w:szCs w:val="22"/>
              </w:rPr>
              <w:t>份</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满意度情况</w:t>
            </w:r>
          </w:p>
        </w:tc>
        <w:tc>
          <w:tcPr>
            <w:tcW w:w="1410" w:type="dxa"/>
            <w:tcBorders>
              <w:top w:val="single" w:color="000000" w:sz="4" w:space="0"/>
              <w:left w:val="single" w:color="000000" w:sz="4" w:space="0"/>
              <w:bottom w:val="single" w:color="000000" w:sz="4" w:space="0"/>
              <w:right w:val="single" w:color="000000" w:sz="4" w:space="0"/>
            </w:tcBorders>
            <w:vAlign w:val="center"/>
          </w:tcPr>
          <w:p>
            <w:pPr>
              <w:rPr>
                <w:rFonts w:ascii="仿宋_GB2312" w:hAnsi="宋体" w:eastAsia="仿宋_GB2312" w:cs="宋体"/>
                <w:color w:val="000000"/>
                <w:sz w:val="22"/>
                <w:szCs w:val="22"/>
              </w:rPr>
            </w:pPr>
            <w:r>
              <w:rPr>
                <w:rFonts w:hint="eastAsia" w:ascii="仿宋_GB2312" w:hAnsi="宋体" w:eastAsia="仿宋_GB2312" w:cs="宋体"/>
                <w:color w:val="000000"/>
                <w:sz w:val="22"/>
                <w:szCs w:val="22"/>
              </w:rPr>
              <w:t>≥</w:t>
            </w:r>
            <w:r>
              <w:rPr>
                <w:rFonts w:hint="eastAsia" w:ascii="仿宋_GB2312" w:hAnsi="宋体" w:eastAsia="仿宋_GB2312" w:cs="宋体"/>
                <w:color w:val="000000"/>
                <w:sz w:val="22"/>
                <w:szCs w:val="22"/>
                <w:lang w:val="en-US" w:eastAsia="zh-CN"/>
              </w:rPr>
              <w:t>9</w:t>
            </w:r>
            <w:r>
              <w:rPr>
                <w:rFonts w:hint="eastAsia" w:ascii="仿宋_GB2312" w:hAnsi="宋体" w:eastAsia="仿宋_GB2312" w:cs="宋体"/>
                <w:color w:val="000000"/>
                <w:sz w:val="22"/>
                <w:szCs w:val="22"/>
              </w:rPr>
              <w:t>0%</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绩效目标实现情况</w:t>
            </w:r>
          </w:p>
        </w:tc>
        <w:tc>
          <w:tcPr>
            <w:tcW w:w="7435" w:type="dxa"/>
            <w:gridSpan w:val="5"/>
            <w:tcBorders>
              <w:top w:val="single" w:color="000000" w:sz="4" w:space="0"/>
              <w:left w:val="single" w:color="000000" w:sz="4" w:space="0"/>
              <w:bottom w:val="single" w:color="000000" w:sz="4" w:space="0"/>
              <w:right w:val="single" w:color="000000" w:sz="4" w:space="0"/>
            </w:tcBorders>
            <w:vAlign w:val="center"/>
          </w:tcPr>
          <w:p>
            <w:pPr>
              <w:jc w:val="left"/>
              <w:rPr>
                <w:rFonts w:ascii="仿宋_GB2312" w:hAnsi="宋体" w:eastAsia="仿宋_GB2312" w:cs="宋体"/>
                <w:color w:val="000000"/>
                <w:sz w:val="22"/>
                <w:szCs w:val="22"/>
              </w:rPr>
            </w:pPr>
            <w:r>
              <w:rPr>
                <w:rFonts w:hint="eastAsia" w:ascii="仿宋_GB2312" w:hAnsi="宋体" w:eastAsia="仿宋_GB2312" w:cs="宋体"/>
                <w:color w:val="000000"/>
                <w:sz w:val="22"/>
                <w:szCs w:val="22"/>
              </w:rPr>
              <w:t>三亚市</w:t>
            </w:r>
            <w:r>
              <w:rPr>
                <w:rFonts w:hint="eastAsia" w:ascii="仿宋_GB2312" w:hAnsi="宋体" w:eastAsia="仿宋_GB2312" w:cs="宋体"/>
                <w:color w:val="000000"/>
                <w:sz w:val="22"/>
                <w:szCs w:val="22"/>
                <w:lang w:eastAsia="zh-CN"/>
              </w:rPr>
              <w:t>诉调对接服务中心</w:t>
            </w:r>
            <w:r>
              <w:rPr>
                <w:rFonts w:hint="eastAsia" w:ascii="仿宋_GB2312" w:hAnsi="宋体" w:eastAsia="仿宋_GB2312" w:cs="宋体"/>
                <w:color w:val="000000"/>
                <w:sz w:val="22"/>
                <w:szCs w:val="22"/>
              </w:rPr>
              <w:t>项目整体</w:t>
            </w:r>
            <w:r>
              <w:rPr>
                <w:rFonts w:hint="eastAsia" w:ascii="仿宋_GB2312" w:hAnsi="宋体" w:eastAsia="仿宋_GB2312" w:cs="宋体"/>
                <w:color w:val="000000"/>
                <w:sz w:val="22"/>
                <w:szCs w:val="22"/>
                <w:lang w:eastAsia="zh-CN"/>
              </w:rPr>
              <w:t>施工进展顺利</w:t>
            </w:r>
            <w:r>
              <w:rPr>
                <w:rFonts w:hint="eastAsia" w:ascii="仿宋_GB2312" w:hAnsi="宋体" w:eastAsia="仿宋_GB2312" w:cs="宋体"/>
                <w:color w:val="000000"/>
                <w:sz w:val="22"/>
                <w:szCs w:val="22"/>
              </w:rPr>
              <w:t>，</w:t>
            </w:r>
            <w:r>
              <w:rPr>
                <w:rFonts w:hint="eastAsia" w:ascii="仿宋_GB2312" w:hAnsi="宋体" w:eastAsia="仿宋_GB2312" w:cs="宋体"/>
                <w:color w:val="000000"/>
                <w:sz w:val="22"/>
                <w:szCs w:val="22"/>
                <w:lang w:eastAsia="zh-CN"/>
              </w:rPr>
              <w:t>每一阶段施工均</w:t>
            </w:r>
            <w:r>
              <w:rPr>
                <w:rFonts w:hint="eastAsia" w:ascii="仿宋_GB2312" w:hAnsi="宋体" w:eastAsia="仿宋_GB2312" w:cs="宋体"/>
                <w:color w:val="000000"/>
                <w:sz w:val="22"/>
                <w:szCs w:val="22"/>
              </w:rPr>
              <w:t>符合国家质量标准</w:t>
            </w:r>
            <w:r>
              <w:rPr>
                <w:rFonts w:hint="eastAsia" w:ascii="仿宋_GB2312" w:hAnsi="宋体" w:eastAsia="仿宋_GB2312" w:cs="宋体"/>
                <w:color w:val="000000"/>
                <w:sz w:val="22"/>
                <w:szCs w:val="22"/>
                <w:lang w:eastAsia="zh-CN"/>
              </w:rPr>
              <w:t>，</w:t>
            </w:r>
            <w:r>
              <w:rPr>
                <w:rFonts w:hint="eastAsia" w:ascii="仿宋_GB2312" w:hAnsi="宋体" w:eastAsia="仿宋_GB2312" w:cs="宋体"/>
                <w:color w:val="000000"/>
                <w:sz w:val="22"/>
                <w:szCs w:val="22"/>
              </w:rPr>
              <w:t>项目</w:t>
            </w:r>
            <w:r>
              <w:rPr>
                <w:rFonts w:hint="eastAsia" w:ascii="仿宋_GB2312" w:hAnsi="宋体" w:eastAsia="仿宋_GB2312" w:cs="宋体"/>
                <w:color w:val="000000"/>
                <w:sz w:val="22"/>
                <w:szCs w:val="22"/>
                <w:lang w:eastAsia="zh-CN"/>
              </w:rPr>
              <w:t>阶段</w:t>
            </w:r>
            <w:r>
              <w:rPr>
                <w:rFonts w:hint="eastAsia" w:ascii="仿宋_GB2312" w:hAnsi="宋体" w:eastAsia="仿宋_GB2312" w:cs="宋体"/>
                <w:color w:val="000000"/>
                <w:sz w:val="22"/>
                <w:szCs w:val="22"/>
              </w:rPr>
              <w:t>目标完成</w:t>
            </w:r>
            <w:r>
              <w:rPr>
                <w:rFonts w:hint="eastAsia" w:ascii="仿宋_GB2312" w:hAnsi="宋体" w:eastAsia="仿宋_GB2312" w:cs="宋体"/>
                <w:color w:val="000000"/>
                <w:sz w:val="22"/>
                <w:szCs w:val="22"/>
                <w:lang w:eastAsia="zh-CN"/>
              </w:rPr>
              <w:t>，</w:t>
            </w:r>
            <w:r>
              <w:rPr>
                <w:rFonts w:hint="eastAsia" w:ascii="仿宋_GB2312" w:hAnsi="宋体" w:eastAsia="仿宋_GB2312" w:cs="宋体"/>
                <w:color w:val="000000"/>
                <w:sz w:val="22"/>
                <w:szCs w:val="22"/>
                <w:lang w:val="en-US" w:eastAsia="zh-CN"/>
              </w:rPr>
              <w:t>2024年度已完成竣工验收并投入使用</w:t>
            </w:r>
            <w:r>
              <w:rPr>
                <w:rFonts w:hint="eastAsia" w:ascii="仿宋_GB2312" w:hAnsi="宋体" w:eastAsia="仿宋_GB2312" w:cs="宋体"/>
                <w:color w:val="000000"/>
                <w:sz w:val="22"/>
                <w:szCs w:val="22"/>
              </w:rPr>
              <w:t>。</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评价问题简要情况</w:t>
            </w:r>
          </w:p>
        </w:tc>
        <w:tc>
          <w:tcPr>
            <w:tcW w:w="7435" w:type="dxa"/>
            <w:gridSpan w:val="5"/>
            <w:tcBorders>
              <w:top w:val="single" w:color="000000" w:sz="4" w:space="0"/>
              <w:left w:val="single" w:color="000000" w:sz="4" w:space="0"/>
              <w:bottom w:val="single" w:color="000000" w:sz="4" w:space="0"/>
              <w:right w:val="single" w:color="000000" w:sz="4" w:space="0"/>
            </w:tcBorders>
            <w:vAlign w:val="center"/>
          </w:tcPr>
          <w:p>
            <w:pPr>
              <w:jc w:val="left"/>
              <w:rPr>
                <w:rFonts w:ascii="仿宋_GB2312" w:hAnsi="宋体" w:eastAsia="仿宋_GB2312" w:cs="宋体"/>
                <w:color w:val="000000"/>
                <w:sz w:val="22"/>
                <w:szCs w:val="22"/>
              </w:rPr>
            </w:pPr>
            <w:r>
              <w:rPr>
                <w:rFonts w:hint="eastAsia" w:ascii="仿宋_GB2312" w:hAnsi="宋体" w:eastAsia="仿宋_GB2312" w:cs="宋体"/>
                <w:color w:val="000000"/>
                <w:sz w:val="22"/>
                <w:szCs w:val="22"/>
              </w:rPr>
              <w:t>1</w:t>
            </w:r>
            <w:r>
              <w:rPr>
                <w:rFonts w:ascii="仿宋_GB2312" w:hAnsi="宋体" w:eastAsia="仿宋_GB2312" w:cs="宋体"/>
                <w:color w:val="000000"/>
                <w:sz w:val="22"/>
                <w:szCs w:val="22"/>
              </w:rPr>
              <w:t>.</w:t>
            </w:r>
            <w:r>
              <w:rPr>
                <w:rFonts w:hint="eastAsia" w:ascii="仿宋_GB2312" w:hAnsi="宋体" w:eastAsia="仿宋_GB2312" w:cs="宋体"/>
                <w:color w:val="000000"/>
                <w:sz w:val="22"/>
                <w:szCs w:val="22"/>
              </w:rPr>
              <w:t>项目前期工作进度较慢。</w:t>
            </w:r>
          </w:p>
          <w:p>
            <w:pPr>
              <w:jc w:val="left"/>
              <w:rPr>
                <w:rFonts w:ascii="仿宋_GB2312" w:hAnsi="宋体" w:eastAsia="仿宋_GB2312" w:cs="宋体"/>
                <w:color w:val="000000"/>
                <w:sz w:val="22"/>
                <w:szCs w:val="22"/>
              </w:rPr>
            </w:pPr>
            <w:r>
              <w:rPr>
                <w:rFonts w:hint="eastAsia" w:ascii="仿宋_GB2312" w:hAnsi="宋体" w:eastAsia="仿宋_GB2312" w:cs="宋体"/>
                <w:color w:val="000000"/>
                <w:sz w:val="22"/>
                <w:szCs w:val="22"/>
              </w:rPr>
              <w:t>2</w:t>
            </w:r>
            <w:r>
              <w:rPr>
                <w:rFonts w:ascii="仿宋_GB2312" w:hAnsi="宋体" w:eastAsia="仿宋_GB2312" w:cs="宋体"/>
                <w:color w:val="000000"/>
                <w:sz w:val="22"/>
                <w:szCs w:val="22"/>
              </w:rPr>
              <w:t>.</w:t>
            </w:r>
            <w:r>
              <w:rPr>
                <w:rFonts w:hint="eastAsia" w:ascii="仿宋_GB2312" w:hAnsi="宋体" w:eastAsia="仿宋_GB2312" w:cs="宋体"/>
                <w:color w:val="000000"/>
                <w:sz w:val="22"/>
                <w:szCs w:val="22"/>
              </w:rPr>
              <w:t>项目工期</w:t>
            </w:r>
            <w:r>
              <w:rPr>
                <w:rFonts w:hint="eastAsia" w:ascii="仿宋_GB2312" w:hAnsi="宋体" w:eastAsia="仿宋_GB2312" w:cs="宋体"/>
                <w:color w:val="000000"/>
                <w:sz w:val="22"/>
                <w:szCs w:val="22"/>
                <w:lang w:eastAsia="zh-CN"/>
              </w:rPr>
              <w:t>稍显</w:t>
            </w:r>
            <w:r>
              <w:rPr>
                <w:rFonts w:hint="eastAsia" w:ascii="仿宋_GB2312" w:hAnsi="宋体" w:eastAsia="仿宋_GB2312" w:cs="宋体"/>
                <w:color w:val="000000"/>
                <w:sz w:val="22"/>
                <w:szCs w:val="22"/>
              </w:rPr>
              <w:t>滞后。</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评价问题简要建议</w:t>
            </w:r>
          </w:p>
        </w:tc>
        <w:tc>
          <w:tcPr>
            <w:tcW w:w="7435" w:type="dxa"/>
            <w:gridSpan w:val="5"/>
            <w:tcBorders>
              <w:top w:val="single" w:color="000000" w:sz="4" w:space="0"/>
              <w:left w:val="single" w:color="000000" w:sz="4" w:space="0"/>
              <w:bottom w:val="single" w:color="000000" w:sz="4" w:space="0"/>
              <w:right w:val="single" w:color="000000" w:sz="4" w:space="0"/>
            </w:tcBorders>
            <w:vAlign w:val="center"/>
          </w:tcPr>
          <w:p>
            <w:pPr>
              <w:jc w:val="left"/>
              <w:rPr>
                <w:rFonts w:ascii="仿宋_GB2312" w:hAnsi="宋体" w:eastAsia="仿宋_GB2312" w:cs="宋体"/>
                <w:color w:val="000000"/>
                <w:sz w:val="22"/>
                <w:szCs w:val="22"/>
              </w:rPr>
            </w:pPr>
            <w:r>
              <w:rPr>
                <w:rFonts w:hint="eastAsia" w:ascii="仿宋_GB2312" w:hAnsi="宋体" w:eastAsia="仿宋_GB2312" w:cs="宋体"/>
                <w:color w:val="000000"/>
                <w:sz w:val="22"/>
                <w:szCs w:val="22"/>
              </w:rPr>
              <w:t>1</w:t>
            </w:r>
            <w:r>
              <w:rPr>
                <w:rFonts w:ascii="仿宋_GB2312" w:hAnsi="宋体" w:eastAsia="仿宋_GB2312" w:cs="宋体"/>
                <w:color w:val="000000"/>
                <w:sz w:val="22"/>
                <w:szCs w:val="22"/>
              </w:rPr>
              <w:t>.</w:t>
            </w:r>
            <w:r>
              <w:rPr>
                <w:rFonts w:hint="eastAsia" w:ascii="仿宋_GB2312" w:hAnsi="宋体" w:eastAsia="仿宋_GB2312" w:cs="宋体"/>
                <w:color w:val="000000"/>
                <w:sz w:val="22"/>
                <w:szCs w:val="22"/>
              </w:rPr>
              <w:t>建议项目实施</w:t>
            </w:r>
            <w:r>
              <w:rPr>
                <w:rFonts w:hint="eastAsia" w:ascii="仿宋_GB2312" w:hAnsi="宋体" w:eastAsia="仿宋_GB2312" w:cs="宋体"/>
                <w:color w:val="000000"/>
                <w:sz w:val="22"/>
                <w:szCs w:val="22"/>
                <w:lang w:eastAsia="zh-CN"/>
              </w:rPr>
              <w:t>部门</w:t>
            </w:r>
            <w:r>
              <w:rPr>
                <w:rFonts w:hint="eastAsia" w:ascii="仿宋_GB2312" w:hAnsi="宋体" w:eastAsia="仿宋_GB2312" w:cs="宋体"/>
                <w:color w:val="000000"/>
                <w:sz w:val="22"/>
                <w:szCs w:val="22"/>
              </w:rPr>
              <w:t>加强项目前期准备工作，在项目立项的同时及时做好环境影响评价、节能评估和审查、水土保持及地质灾害评估等前期工作，结合实际及时编制项目初步设计及概算，确保项目顺利及时实施并取得预期效果。</w:t>
            </w:r>
          </w:p>
          <w:p>
            <w:pPr>
              <w:jc w:val="left"/>
              <w:rPr>
                <w:rFonts w:ascii="仿宋_GB2312" w:hAnsi="宋体" w:eastAsia="仿宋_GB2312" w:cs="宋体"/>
                <w:color w:val="000000"/>
                <w:sz w:val="22"/>
                <w:szCs w:val="22"/>
              </w:rPr>
            </w:pPr>
            <w:r>
              <w:rPr>
                <w:rFonts w:hint="eastAsia" w:ascii="仿宋_GB2312" w:hAnsi="宋体" w:eastAsia="仿宋_GB2312" w:cs="宋体"/>
                <w:color w:val="000000"/>
                <w:sz w:val="22"/>
                <w:szCs w:val="22"/>
              </w:rPr>
              <w:t>2</w:t>
            </w:r>
            <w:r>
              <w:rPr>
                <w:rFonts w:ascii="仿宋_GB2312" w:hAnsi="宋体" w:eastAsia="仿宋_GB2312" w:cs="宋体"/>
                <w:color w:val="000000"/>
                <w:sz w:val="22"/>
                <w:szCs w:val="22"/>
              </w:rPr>
              <w:t>.</w:t>
            </w:r>
            <w:r>
              <w:rPr>
                <w:rFonts w:hint="eastAsia" w:ascii="仿宋_GB2312" w:hAnsi="宋体" w:eastAsia="仿宋_GB2312" w:cs="宋体"/>
                <w:color w:val="000000"/>
                <w:sz w:val="22"/>
                <w:szCs w:val="22"/>
              </w:rPr>
              <w:t>建议项目</w:t>
            </w:r>
            <w:r>
              <w:rPr>
                <w:rFonts w:hint="eastAsia" w:ascii="仿宋_GB2312" w:hAnsi="宋体" w:eastAsia="仿宋_GB2312" w:cs="宋体"/>
                <w:color w:val="000000"/>
                <w:sz w:val="22"/>
                <w:szCs w:val="22"/>
                <w:lang w:eastAsia="zh-CN"/>
              </w:rPr>
              <w:t>部门</w:t>
            </w:r>
            <w:r>
              <w:rPr>
                <w:rFonts w:hint="eastAsia" w:ascii="仿宋_GB2312" w:hAnsi="宋体" w:eastAsia="仿宋_GB2312" w:cs="宋体"/>
                <w:color w:val="000000"/>
                <w:sz w:val="22"/>
                <w:szCs w:val="22"/>
              </w:rPr>
              <w:t>在实施项目时严格按照合同条款实施，如在实施过程中确实需要调整实施内容，应及时签订补充协议及变更工期，避免后续产生经济纠纷。</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评价时间</w:t>
            </w:r>
          </w:p>
        </w:tc>
        <w:tc>
          <w:tcPr>
            <w:tcW w:w="293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rPr>
              <w:t>202</w:t>
            </w:r>
            <w:r>
              <w:rPr>
                <w:rFonts w:hint="eastAsia" w:ascii="仿宋_GB2312" w:hAnsi="宋体" w:eastAsia="仿宋_GB2312" w:cs="宋体"/>
                <w:color w:val="000000"/>
                <w:sz w:val="22"/>
                <w:szCs w:val="22"/>
                <w:lang w:val="en-US" w:eastAsia="zh-CN"/>
              </w:rPr>
              <w:t>5</w:t>
            </w:r>
            <w:r>
              <w:rPr>
                <w:rFonts w:hint="eastAsia" w:ascii="仿宋_GB2312" w:hAnsi="宋体" w:eastAsia="仿宋_GB2312" w:cs="宋体"/>
                <w:color w:val="000000"/>
                <w:sz w:val="22"/>
                <w:szCs w:val="22"/>
              </w:rPr>
              <w:t>年</w:t>
            </w:r>
            <w:r>
              <w:rPr>
                <w:rFonts w:hint="eastAsia" w:ascii="仿宋_GB2312" w:hAnsi="宋体" w:eastAsia="仿宋_GB2312" w:cs="宋体"/>
                <w:color w:val="000000"/>
                <w:sz w:val="22"/>
                <w:szCs w:val="22"/>
                <w:lang w:val="en-US" w:eastAsia="zh-CN"/>
              </w:rPr>
              <w:t>4</w:t>
            </w:r>
            <w:r>
              <w:rPr>
                <w:rFonts w:hint="eastAsia" w:ascii="仿宋_GB2312" w:hAnsi="宋体" w:eastAsia="仿宋_GB2312" w:cs="宋体"/>
                <w:color w:val="000000"/>
                <w:sz w:val="22"/>
                <w:szCs w:val="22"/>
              </w:rPr>
              <w:t>月</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评价机构</w:t>
            </w:r>
          </w:p>
        </w:tc>
        <w:tc>
          <w:tcPr>
            <w:tcW w:w="279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宋体"/>
                <w:color w:val="000000"/>
                <w:sz w:val="22"/>
                <w:szCs w:val="22"/>
                <w:lang w:eastAsia="zh-CN"/>
              </w:rPr>
            </w:pPr>
            <w:r>
              <w:rPr>
                <w:rFonts w:hint="eastAsia" w:ascii="仿宋_GB2312" w:hAnsi="宋体" w:eastAsia="仿宋_GB2312" w:cs="宋体"/>
                <w:color w:val="000000"/>
                <w:sz w:val="22"/>
                <w:szCs w:val="22"/>
                <w:lang w:eastAsia="zh-CN"/>
              </w:rPr>
              <w:t>海南省三亚市中级人民法院</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项目主评人及联系方式</w:t>
            </w:r>
          </w:p>
        </w:tc>
        <w:tc>
          <w:tcPr>
            <w:tcW w:w="7435" w:type="dxa"/>
            <w:gridSpan w:val="5"/>
            <w:tcBorders>
              <w:top w:val="single" w:color="000000" w:sz="4" w:space="0"/>
              <w:left w:val="single" w:color="000000" w:sz="4" w:space="0"/>
              <w:bottom w:val="single" w:color="000000" w:sz="4" w:space="0"/>
              <w:right w:val="single" w:color="000000" w:sz="4" w:space="0"/>
            </w:tcBorders>
            <w:vAlign w:val="center"/>
          </w:tcPr>
          <w:p>
            <w:pPr>
              <w:jc w:val="left"/>
              <w:rPr>
                <w:rFonts w:ascii="仿宋_GB2312" w:hAnsi="宋体" w:eastAsia="仿宋_GB2312" w:cs="宋体"/>
                <w:color w:val="000000"/>
                <w:sz w:val="22"/>
                <w:szCs w:val="22"/>
              </w:rPr>
            </w:pPr>
            <w:r>
              <w:rPr>
                <w:rFonts w:hint="eastAsia" w:ascii="仿宋_GB2312" w:hAnsi="宋体" w:eastAsia="仿宋_GB2312" w:cs="宋体"/>
                <w:color w:val="000000"/>
                <w:sz w:val="22"/>
                <w:szCs w:val="22"/>
                <w:lang w:eastAsia="zh-CN"/>
              </w:rPr>
              <w:t>曹雄</w:t>
            </w:r>
            <w:r>
              <w:rPr>
                <w:rFonts w:ascii="仿宋_GB2312" w:hAnsi="宋体" w:eastAsia="仿宋_GB2312" w:cs="宋体"/>
                <w:color w:val="000000"/>
                <w:sz w:val="22"/>
                <w:szCs w:val="22"/>
              </w:rPr>
              <w:t>18</w:t>
            </w:r>
            <w:r>
              <w:rPr>
                <w:rFonts w:hint="eastAsia" w:ascii="仿宋_GB2312" w:hAnsi="宋体" w:eastAsia="仿宋_GB2312" w:cs="宋体"/>
                <w:color w:val="000000"/>
                <w:sz w:val="22"/>
                <w:szCs w:val="22"/>
                <w:lang w:val="en-US" w:eastAsia="zh-CN"/>
              </w:rPr>
              <w:t>976609108</w:t>
            </w:r>
          </w:p>
        </w:tc>
      </w:tr>
      <w:tr>
        <w:tblPrEx>
          <w:tblCellMar>
            <w:top w:w="0" w:type="dxa"/>
            <w:left w:w="108" w:type="dxa"/>
            <w:bottom w:w="0" w:type="dxa"/>
            <w:right w:w="108" w:type="dxa"/>
          </w:tblCellMar>
        </w:tblPrEx>
        <w:trPr>
          <w:trHeight w:val="652"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宋体"/>
                <w:color w:val="000000"/>
                <w:sz w:val="22"/>
                <w:szCs w:val="22"/>
              </w:rPr>
            </w:pPr>
            <w:r>
              <w:rPr>
                <w:rFonts w:hint="eastAsia" w:ascii="仿宋_GB2312" w:hAnsi="宋体" w:eastAsia="仿宋_GB2312" w:cs="宋体"/>
                <w:color w:val="000000"/>
                <w:kern w:val="0"/>
                <w:sz w:val="22"/>
                <w:szCs w:val="22"/>
                <w:lang w:bidi="ar"/>
              </w:rPr>
              <w:t>评价小组成员及联系方式</w:t>
            </w:r>
          </w:p>
        </w:tc>
        <w:tc>
          <w:tcPr>
            <w:tcW w:w="7435" w:type="dxa"/>
            <w:gridSpan w:val="5"/>
            <w:tcBorders>
              <w:top w:val="nil"/>
              <w:left w:val="single" w:color="000000" w:sz="4" w:space="0"/>
              <w:bottom w:val="single" w:color="000000" w:sz="4" w:space="0"/>
              <w:right w:val="single" w:color="000000" w:sz="4" w:space="0"/>
            </w:tcBorders>
            <w:vAlign w:val="center"/>
          </w:tcPr>
          <w:p>
            <w:pPr>
              <w:jc w:val="both"/>
              <w:rPr>
                <w:rFonts w:hint="default" w:ascii="仿宋_GB2312" w:hAnsi="宋体" w:eastAsia="仿宋_GB2312" w:cs="宋体"/>
                <w:color w:val="000000"/>
                <w:sz w:val="22"/>
                <w:szCs w:val="22"/>
                <w:lang w:val="en-US" w:eastAsia="zh-CN"/>
              </w:rPr>
            </w:pPr>
            <w:r>
              <w:rPr>
                <w:rFonts w:hint="eastAsia" w:ascii="仿宋_GB2312" w:hAnsi="宋体" w:eastAsia="仿宋_GB2312" w:cs="宋体"/>
                <w:color w:val="000000"/>
                <w:sz w:val="22"/>
                <w:szCs w:val="22"/>
                <w:lang w:eastAsia="zh-CN"/>
              </w:rPr>
              <w:t>吴萍</w:t>
            </w:r>
            <w:r>
              <w:rPr>
                <w:rFonts w:hint="eastAsia" w:ascii="仿宋_GB2312" w:hAnsi="宋体" w:eastAsia="仿宋_GB2312" w:cs="宋体"/>
                <w:color w:val="000000"/>
                <w:sz w:val="22"/>
                <w:szCs w:val="22"/>
                <w:lang w:val="en-US" w:eastAsia="zh-CN"/>
              </w:rPr>
              <w:t xml:space="preserve"> 15091913230</w:t>
            </w:r>
          </w:p>
        </w:tc>
      </w:tr>
    </w:tbl>
    <w:p>
      <w:pPr>
        <w:rPr>
          <w:rFonts w:ascii="黑体" w:hAnsi="黑体" w:eastAsia="黑体" w:cs="黑体"/>
          <w:sz w:val="32"/>
          <w:szCs w:val="32"/>
        </w:rPr>
      </w:pPr>
    </w:p>
    <w:p>
      <w:pPr>
        <w:jc w:val="center"/>
        <w:rPr>
          <w:rFonts w:hint="eastAsia" w:ascii="仿宋_GB2312" w:hAnsi="黑体" w:eastAsia="仿宋_GB2312" w:cs="黑体"/>
          <w:sz w:val="32"/>
          <w:szCs w:val="32"/>
        </w:rPr>
      </w:pPr>
    </w:p>
    <w:p>
      <w:pPr>
        <w:jc w:val="center"/>
        <w:rPr>
          <w:rFonts w:hint="eastAsia" w:ascii="仿宋_GB2312" w:hAnsi="黑体" w:eastAsia="仿宋_GB2312" w:cs="黑体"/>
          <w:sz w:val="32"/>
          <w:szCs w:val="32"/>
        </w:rPr>
      </w:pPr>
    </w:p>
    <w:p>
      <w:pPr>
        <w:jc w:val="center"/>
        <w:rPr>
          <w:rFonts w:ascii="仿宋_GB2312" w:hAnsi="黑体" w:eastAsia="仿宋_GB2312" w:cs="黑体"/>
          <w:sz w:val="32"/>
          <w:szCs w:val="32"/>
        </w:rPr>
      </w:pPr>
      <w:r>
        <w:rPr>
          <w:rFonts w:hint="eastAsia" w:ascii="仿宋_GB2312" w:hAnsi="黑体" w:eastAsia="仿宋_GB2312" w:cs="黑体"/>
          <w:sz w:val="32"/>
          <w:szCs w:val="32"/>
        </w:rPr>
        <w:t>绩效评价工作组成员</w:t>
      </w:r>
    </w:p>
    <w:p>
      <w:pPr>
        <w:jc w:val="center"/>
        <w:rPr>
          <w:rFonts w:ascii="仿宋_GB2312" w:hAnsi="黑体" w:eastAsia="仿宋_GB2312" w:cs="黑体"/>
          <w:sz w:val="32"/>
          <w:szCs w:val="32"/>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2505"/>
        <w:gridCol w:w="2932"/>
        <w:gridCol w:w="2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jc w:val="center"/>
              <w:rPr>
                <w:rFonts w:ascii="仿宋_GB2312" w:hAnsi="宋体" w:eastAsia="仿宋_GB2312" w:cs="宋体"/>
                <w:b/>
                <w:bCs/>
                <w:sz w:val="28"/>
                <w:szCs w:val="28"/>
              </w:rPr>
            </w:pPr>
            <w:r>
              <w:rPr>
                <w:rFonts w:hint="eastAsia" w:ascii="仿宋_GB2312" w:hAnsi="宋体" w:eastAsia="仿宋_GB2312" w:cs="宋体"/>
                <w:b/>
                <w:bCs/>
                <w:sz w:val="28"/>
                <w:szCs w:val="28"/>
              </w:rPr>
              <w:t>序号</w:t>
            </w:r>
          </w:p>
        </w:tc>
        <w:tc>
          <w:tcPr>
            <w:tcW w:w="2505" w:type="dxa"/>
          </w:tcPr>
          <w:p>
            <w:pPr>
              <w:jc w:val="center"/>
              <w:rPr>
                <w:rFonts w:ascii="仿宋_GB2312" w:hAnsi="宋体" w:eastAsia="仿宋_GB2312" w:cs="宋体"/>
                <w:b/>
                <w:bCs/>
                <w:sz w:val="28"/>
                <w:szCs w:val="28"/>
              </w:rPr>
            </w:pPr>
            <w:r>
              <w:rPr>
                <w:rFonts w:hint="eastAsia" w:ascii="仿宋_GB2312" w:hAnsi="宋体" w:eastAsia="仿宋_GB2312" w:cs="宋体"/>
                <w:b/>
                <w:bCs/>
                <w:sz w:val="28"/>
                <w:szCs w:val="28"/>
              </w:rPr>
              <w:t>项目职务</w:t>
            </w:r>
          </w:p>
        </w:tc>
        <w:tc>
          <w:tcPr>
            <w:tcW w:w="2932" w:type="dxa"/>
          </w:tcPr>
          <w:p>
            <w:pPr>
              <w:jc w:val="center"/>
              <w:rPr>
                <w:rFonts w:ascii="仿宋_GB2312" w:hAnsi="宋体" w:eastAsia="仿宋_GB2312" w:cs="宋体"/>
                <w:b/>
                <w:bCs/>
                <w:sz w:val="28"/>
                <w:szCs w:val="28"/>
              </w:rPr>
            </w:pPr>
            <w:r>
              <w:rPr>
                <w:rFonts w:hint="eastAsia" w:ascii="仿宋_GB2312" w:hAnsi="宋体" w:eastAsia="仿宋_GB2312" w:cs="宋体"/>
                <w:b/>
                <w:bCs/>
                <w:sz w:val="28"/>
                <w:szCs w:val="28"/>
              </w:rPr>
              <w:t>姓名</w:t>
            </w:r>
          </w:p>
        </w:tc>
        <w:tc>
          <w:tcPr>
            <w:tcW w:w="2614" w:type="dxa"/>
          </w:tcPr>
          <w:p>
            <w:pPr>
              <w:jc w:val="center"/>
              <w:rPr>
                <w:rFonts w:ascii="仿宋_GB2312" w:hAnsi="宋体" w:eastAsia="仿宋_GB2312" w:cs="宋体"/>
                <w:b/>
                <w:bCs/>
                <w:sz w:val="28"/>
                <w:szCs w:val="28"/>
              </w:rPr>
            </w:pPr>
            <w:r>
              <w:rPr>
                <w:rFonts w:hint="eastAsia" w:ascii="仿宋_GB2312" w:hAnsi="宋体" w:eastAsia="仿宋_GB2312" w:cs="宋体"/>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jc w:val="center"/>
              <w:rPr>
                <w:rFonts w:ascii="仿宋_GB2312" w:hAnsi="宋体" w:eastAsia="仿宋_GB2312" w:cs="宋体"/>
                <w:sz w:val="28"/>
                <w:szCs w:val="28"/>
              </w:rPr>
            </w:pPr>
            <w:r>
              <w:rPr>
                <w:rFonts w:hint="eastAsia" w:ascii="仿宋_GB2312" w:hAnsi="宋体" w:eastAsia="仿宋_GB2312" w:cs="宋体"/>
                <w:sz w:val="28"/>
                <w:szCs w:val="28"/>
              </w:rPr>
              <w:t>1</w:t>
            </w:r>
          </w:p>
        </w:tc>
        <w:tc>
          <w:tcPr>
            <w:tcW w:w="2505" w:type="dxa"/>
          </w:tcPr>
          <w:p>
            <w:pPr>
              <w:jc w:val="center"/>
              <w:rPr>
                <w:rFonts w:ascii="仿宋_GB2312" w:hAnsi="宋体" w:eastAsia="仿宋_GB2312" w:cs="宋体"/>
                <w:sz w:val="28"/>
                <w:szCs w:val="28"/>
              </w:rPr>
            </w:pPr>
            <w:r>
              <w:rPr>
                <w:rFonts w:hint="eastAsia" w:ascii="仿宋_GB2312" w:hAnsi="宋体" w:eastAsia="仿宋_GB2312" w:cs="宋体"/>
                <w:sz w:val="28"/>
                <w:szCs w:val="28"/>
              </w:rPr>
              <w:t>项目负责人</w:t>
            </w:r>
          </w:p>
        </w:tc>
        <w:tc>
          <w:tcPr>
            <w:tcW w:w="2932" w:type="dxa"/>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王娜</w:t>
            </w:r>
          </w:p>
        </w:tc>
        <w:tc>
          <w:tcPr>
            <w:tcW w:w="2614" w:type="dxa"/>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副院长、基建办主任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jc w:val="center"/>
              <w:rPr>
                <w:rFonts w:ascii="仿宋_GB2312" w:hAnsi="宋体" w:eastAsia="仿宋_GB2312" w:cs="宋体"/>
                <w:sz w:val="28"/>
                <w:szCs w:val="28"/>
              </w:rPr>
            </w:pPr>
            <w:r>
              <w:rPr>
                <w:rFonts w:hint="eastAsia" w:ascii="仿宋_GB2312" w:hAnsi="宋体" w:eastAsia="仿宋_GB2312" w:cs="宋体"/>
                <w:sz w:val="28"/>
                <w:szCs w:val="28"/>
              </w:rPr>
              <w:t>2</w:t>
            </w:r>
          </w:p>
        </w:tc>
        <w:tc>
          <w:tcPr>
            <w:tcW w:w="2505" w:type="dxa"/>
          </w:tcPr>
          <w:p>
            <w:pPr>
              <w:jc w:val="center"/>
              <w:rPr>
                <w:rFonts w:ascii="仿宋_GB2312" w:hAnsi="宋体" w:eastAsia="仿宋_GB2312" w:cs="宋体"/>
                <w:sz w:val="28"/>
                <w:szCs w:val="28"/>
              </w:rPr>
            </w:pPr>
            <w:r>
              <w:rPr>
                <w:rFonts w:hint="eastAsia" w:ascii="仿宋_GB2312" w:hAnsi="宋体" w:eastAsia="仿宋_GB2312" w:cs="宋体"/>
                <w:sz w:val="28"/>
                <w:szCs w:val="28"/>
              </w:rPr>
              <w:t>项目组成员</w:t>
            </w:r>
          </w:p>
        </w:tc>
        <w:tc>
          <w:tcPr>
            <w:tcW w:w="2932" w:type="dxa"/>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陈运助</w:t>
            </w:r>
          </w:p>
        </w:tc>
        <w:tc>
          <w:tcPr>
            <w:tcW w:w="2614" w:type="dxa"/>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基建办副主任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4" w:type="dxa"/>
          </w:tcPr>
          <w:p>
            <w:pPr>
              <w:jc w:val="center"/>
              <w:rPr>
                <w:rFonts w:ascii="仿宋_GB2312" w:hAnsi="宋体" w:eastAsia="仿宋_GB2312" w:cs="宋体"/>
                <w:sz w:val="28"/>
                <w:szCs w:val="28"/>
              </w:rPr>
            </w:pPr>
            <w:r>
              <w:rPr>
                <w:rFonts w:hint="eastAsia" w:ascii="仿宋_GB2312" w:hAnsi="宋体" w:eastAsia="仿宋_GB2312" w:cs="宋体"/>
                <w:sz w:val="28"/>
                <w:szCs w:val="28"/>
              </w:rPr>
              <w:t>3</w:t>
            </w:r>
          </w:p>
        </w:tc>
        <w:tc>
          <w:tcPr>
            <w:tcW w:w="2505" w:type="dxa"/>
          </w:tcPr>
          <w:p>
            <w:pPr>
              <w:jc w:val="center"/>
              <w:rPr>
                <w:rFonts w:ascii="仿宋_GB2312" w:hAnsi="宋体" w:eastAsia="仿宋_GB2312" w:cs="宋体"/>
                <w:sz w:val="28"/>
                <w:szCs w:val="28"/>
              </w:rPr>
            </w:pPr>
            <w:r>
              <w:rPr>
                <w:rFonts w:hint="eastAsia" w:ascii="仿宋_GB2312" w:hAnsi="宋体" w:eastAsia="仿宋_GB2312" w:cs="宋体"/>
                <w:sz w:val="28"/>
                <w:szCs w:val="28"/>
              </w:rPr>
              <w:t>项目组成员</w:t>
            </w:r>
          </w:p>
        </w:tc>
        <w:tc>
          <w:tcPr>
            <w:tcW w:w="2932" w:type="dxa"/>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曹雄</w:t>
            </w:r>
          </w:p>
        </w:tc>
        <w:tc>
          <w:tcPr>
            <w:tcW w:w="2614" w:type="dxa"/>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基建办副主任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jc w:val="center"/>
              <w:rPr>
                <w:rFonts w:ascii="仿宋_GB2312" w:hAnsi="宋体" w:eastAsia="仿宋_GB2312" w:cs="宋体"/>
                <w:sz w:val="28"/>
                <w:szCs w:val="28"/>
              </w:rPr>
            </w:pPr>
            <w:r>
              <w:rPr>
                <w:rFonts w:hint="eastAsia" w:ascii="仿宋_GB2312" w:hAnsi="宋体" w:eastAsia="仿宋_GB2312" w:cs="宋体"/>
                <w:sz w:val="28"/>
                <w:szCs w:val="28"/>
              </w:rPr>
              <w:t>4</w:t>
            </w:r>
          </w:p>
        </w:tc>
        <w:tc>
          <w:tcPr>
            <w:tcW w:w="2505" w:type="dxa"/>
          </w:tcPr>
          <w:p>
            <w:pPr>
              <w:jc w:val="center"/>
              <w:rPr>
                <w:rFonts w:ascii="仿宋_GB2312" w:hAnsi="宋体" w:eastAsia="仿宋_GB2312" w:cs="宋体"/>
                <w:sz w:val="28"/>
                <w:szCs w:val="28"/>
              </w:rPr>
            </w:pPr>
            <w:r>
              <w:rPr>
                <w:rFonts w:hint="eastAsia" w:ascii="仿宋_GB2312" w:hAnsi="宋体" w:eastAsia="仿宋_GB2312" w:cs="宋体"/>
                <w:sz w:val="28"/>
                <w:szCs w:val="28"/>
              </w:rPr>
              <w:t>项目组成员</w:t>
            </w:r>
          </w:p>
        </w:tc>
        <w:tc>
          <w:tcPr>
            <w:tcW w:w="2932" w:type="dxa"/>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郭莹</w:t>
            </w:r>
          </w:p>
        </w:tc>
        <w:tc>
          <w:tcPr>
            <w:tcW w:w="2614" w:type="dxa"/>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基建办副主任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jc w:val="center"/>
              <w:rPr>
                <w:rFonts w:ascii="仿宋_GB2312" w:hAnsi="宋体" w:eastAsia="仿宋_GB2312" w:cs="宋体"/>
                <w:sz w:val="28"/>
                <w:szCs w:val="28"/>
              </w:rPr>
            </w:pPr>
            <w:r>
              <w:rPr>
                <w:rFonts w:hint="eastAsia" w:ascii="仿宋_GB2312" w:hAnsi="宋体" w:eastAsia="仿宋_GB2312" w:cs="宋体"/>
                <w:sz w:val="28"/>
                <w:szCs w:val="28"/>
              </w:rPr>
              <w:t>5</w:t>
            </w:r>
          </w:p>
        </w:tc>
        <w:tc>
          <w:tcPr>
            <w:tcW w:w="2505" w:type="dxa"/>
          </w:tcPr>
          <w:p>
            <w:pPr>
              <w:jc w:val="center"/>
              <w:rPr>
                <w:rFonts w:ascii="仿宋_GB2312" w:hAnsi="宋体" w:eastAsia="仿宋_GB2312" w:cs="宋体"/>
                <w:sz w:val="28"/>
                <w:szCs w:val="28"/>
              </w:rPr>
            </w:pPr>
            <w:r>
              <w:rPr>
                <w:rFonts w:hint="eastAsia" w:ascii="仿宋_GB2312" w:hAnsi="宋体" w:eastAsia="仿宋_GB2312" w:cs="宋体"/>
                <w:sz w:val="28"/>
                <w:szCs w:val="28"/>
              </w:rPr>
              <w:t>项目组成员</w:t>
            </w:r>
          </w:p>
        </w:tc>
        <w:tc>
          <w:tcPr>
            <w:tcW w:w="2932" w:type="dxa"/>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马瑞云</w:t>
            </w:r>
          </w:p>
        </w:tc>
        <w:tc>
          <w:tcPr>
            <w:tcW w:w="2614" w:type="dxa"/>
          </w:tcPr>
          <w:p>
            <w:pPr>
              <w:jc w:val="center"/>
              <w:rPr>
                <w:rFonts w:ascii="仿宋_GB2312" w:hAnsi="宋体" w:eastAsia="仿宋_GB2312" w:cs="宋体"/>
                <w:sz w:val="28"/>
                <w:szCs w:val="28"/>
              </w:rPr>
            </w:pPr>
            <w:r>
              <w:rPr>
                <w:rFonts w:hint="eastAsia" w:ascii="仿宋_GB2312" w:hAnsi="宋体" w:eastAsia="仿宋_GB2312" w:cs="宋体"/>
                <w:sz w:val="28"/>
                <w:szCs w:val="28"/>
                <w:lang w:eastAsia="zh-CN"/>
              </w:rPr>
              <w:t>基建办副主任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jc w:val="center"/>
              <w:rPr>
                <w:rFonts w:ascii="仿宋_GB2312" w:hAnsi="宋体" w:eastAsia="仿宋_GB2312" w:cs="宋体"/>
                <w:sz w:val="28"/>
                <w:szCs w:val="28"/>
              </w:rPr>
            </w:pPr>
            <w:r>
              <w:rPr>
                <w:rFonts w:hint="eastAsia" w:ascii="仿宋_GB2312" w:hAnsi="宋体" w:eastAsia="仿宋_GB2312" w:cs="宋体"/>
                <w:sz w:val="28"/>
                <w:szCs w:val="28"/>
              </w:rPr>
              <w:t>6</w:t>
            </w:r>
          </w:p>
        </w:tc>
        <w:tc>
          <w:tcPr>
            <w:tcW w:w="2505" w:type="dxa"/>
          </w:tcPr>
          <w:p>
            <w:pPr>
              <w:jc w:val="center"/>
              <w:rPr>
                <w:rFonts w:ascii="仿宋_GB2312" w:hAnsi="宋体" w:eastAsia="仿宋_GB2312" w:cs="宋体"/>
                <w:sz w:val="28"/>
                <w:szCs w:val="28"/>
              </w:rPr>
            </w:pPr>
            <w:r>
              <w:rPr>
                <w:rFonts w:hint="eastAsia" w:ascii="仿宋_GB2312" w:hAnsi="宋体" w:eastAsia="仿宋_GB2312" w:cs="宋体"/>
                <w:sz w:val="28"/>
                <w:szCs w:val="28"/>
              </w:rPr>
              <w:t>项目组成员</w:t>
            </w:r>
          </w:p>
        </w:tc>
        <w:tc>
          <w:tcPr>
            <w:tcW w:w="2932" w:type="dxa"/>
            <w:vAlign w:val="top"/>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吴萍</w:t>
            </w:r>
          </w:p>
        </w:tc>
        <w:tc>
          <w:tcPr>
            <w:tcW w:w="2614" w:type="dxa"/>
            <w:vAlign w:val="top"/>
          </w:tcPr>
          <w:p>
            <w:pPr>
              <w:jc w:val="center"/>
              <w:rPr>
                <w:rFonts w:ascii="仿宋_GB2312" w:hAnsi="宋体" w:eastAsia="仿宋_GB2312" w:cs="宋体"/>
                <w:sz w:val="28"/>
                <w:szCs w:val="28"/>
              </w:rPr>
            </w:pPr>
            <w:r>
              <w:rPr>
                <w:rFonts w:hint="eastAsia" w:ascii="仿宋_GB2312" w:hAnsi="宋体" w:eastAsia="仿宋_GB2312" w:cs="宋体"/>
                <w:sz w:val="28"/>
                <w:szCs w:val="28"/>
                <w:lang w:eastAsia="zh-CN"/>
              </w:rPr>
              <w:t>基建办成员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4" w:type="dxa"/>
          </w:tcPr>
          <w:p>
            <w:pPr>
              <w:jc w:val="center"/>
              <w:rPr>
                <w:rFonts w:ascii="仿宋_GB2312" w:hAnsi="宋体" w:eastAsia="仿宋_GB2312" w:cs="宋体"/>
                <w:sz w:val="28"/>
                <w:szCs w:val="28"/>
              </w:rPr>
            </w:pPr>
            <w:r>
              <w:rPr>
                <w:rFonts w:hint="eastAsia" w:ascii="仿宋_GB2312" w:hAnsi="宋体" w:eastAsia="仿宋_GB2312" w:cs="宋体"/>
                <w:sz w:val="28"/>
                <w:szCs w:val="28"/>
              </w:rPr>
              <w:t>7</w:t>
            </w:r>
          </w:p>
        </w:tc>
        <w:tc>
          <w:tcPr>
            <w:tcW w:w="2505" w:type="dxa"/>
          </w:tcPr>
          <w:p>
            <w:pPr>
              <w:jc w:val="center"/>
              <w:rPr>
                <w:rFonts w:ascii="仿宋_GB2312" w:hAnsi="宋体" w:eastAsia="仿宋_GB2312" w:cs="宋体"/>
                <w:sz w:val="28"/>
                <w:szCs w:val="28"/>
              </w:rPr>
            </w:pPr>
            <w:r>
              <w:rPr>
                <w:rFonts w:hint="eastAsia" w:ascii="仿宋_GB2312" w:hAnsi="宋体" w:eastAsia="仿宋_GB2312" w:cs="宋体"/>
                <w:sz w:val="28"/>
                <w:szCs w:val="28"/>
              </w:rPr>
              <w:t>项目组成员</w:t>
            </w:r>
          </w:p>
        </w:tc>
        <w:tc>
          <w:tcPr>
            <w:tcW w:w="2932" w:type="dxa"/>
            <w:vAlign w:val="top"/>
          </w:tcPr>
          <w:p>
            <w:pPr>
              <w:jc w:val="center"/>
              <w:rPr>
                <w:rFonts w:ascii="仿宋_GB2312" w:hAnsi="宋体" w:eastAsia="仿宋_GB2312" w:cs="宋体"/>
                <w:sz w:val="28"/>
                <w:szCs w:val="28"/>
              </w:rPr>
            </w:pPr>
            <w:r>
              <w:rPr>
                <w:rFonts w:hint="eastAsia" w:ascii="仿宋_GB2312" w:hAnsi="宋体" w:eastAsia="仿宋_GB2312" w:cs="宋体"/>
                <w:sz w:val="28"/>
                <w:szCs w:val="28"/>
                <w:lang w:eastAsia="zh-CN"/>
              </w:rPr>
              <w:t>李正升</w:t>
            </w:r>
          </w:p>
        </w:tc>
        <w:tc>
          <w:tcPr>
            <w:tcW w:w="2614" w:type="dxa"/>
            <w:vAlign w:val="top"/>
          </w:tcPr>
          <w:p>
            <w:pPr>
              <w:jc w:val="center"/>
              <w:rPr>
                <w:rFonts w:ascii="仿宋_GB2312" w:hAnsi="宋体" w:eastAsia="仿宋_GB2312" w:cs="宋体"/>
                <w:sz w:val="28"/>
                <w:szCs w:val="28"/>
              </w:rPr>
            </w:pPr>
            <w:r>
              <w:rPr>
                <w:rFonts w:hint="eastAsia" w:ascii="仿宋_GB2312" w:hAnsi="宋体" w:eastAsia="仿宋_GB2312" w:cs="宋体"/>
                <w:sz w:val="28"/>
                <w:szCs w:val="28"/>
                <w:lang w:eastAsia="zh-CN"/>
              </w:rPr>
              <w:t>基建办成员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tcPr>
          <w:p>
            <w:pPr>
              <w:jc w:val="center"/>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8</w:t>
            </w:r>
          </w:p>
        </w:tc>
        <w:tc>
          <w:tcPr>
            <w:tcW w:w="2505" w:type="dxa"/>
          </w:tcPr>
          <w:p>
            <w:pPr>
              <w:jc w:val="center"/>
              <w:rPr>
                <w:rFonts w:hint="eastAsia" w:ascii="仿宋_GB2312" w:hAnsi="宋体" w:eastAsia="仿宋_GB2312" w:cs="宋体"/>
                <w:sz w:val="28"/>
                <w:szCs w:val="28"/>
              </w:rPr>
            </w:pPr>
            <w:r>
              <w:rPr>
                <w:rFonts w:hint="eastAsia" w:ascii="仿宋_GB2312" w:hAnsi="宋体" w:eastAsia="仿宋_GB2312" w:cs="宋体"/>
                <w:sz w:val="28"/>
                <w:szCs w:val="28"/>
              </w:rPr>
              <w:t>项目组成员</w:t>
            </w:r>
          </w:p>
        </w:tc>
        <w:tc>
          <w:tcPr>
            <w:tcW w:w="2932" w:type="dxa"/>
            <w:vAlign w:val="top"/>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傅泳强</w:t>
            </w:r>
          </w:p>
        </w:tc>
        <w:tc>
          <w:tcPr>
            <w:tcW w:w="2614" w:type="dxa"/>
            <w:vAlign w:val="top"/>
          </w:tcPr>
          <w:p>
            <w:pPr>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基建办成员</w:t>
            </w:r>
          </w:p>
        </w:tc>
      </w:tr>
    </w:tbl>
    <w:p>
      <w:pPr>
        <w:jc w:val="center"/>
        <w:rPr>
          <w:rFonts w:ascii="黑体" w:hAnsi="黑体" w:eastAsia="黑体" w:cs="黑体"/>
          <w:sz w:val="32"/>
          <w:szCs w:val="32"/>
        </w:rPr>
      </w:pPr>
    </w:p>
    <w:p>
      <w:pPr>
        <w:jc w:val="center"/>
        <w:rPr>
          <w:rFonts w:ascii="黑体" w:hAnsi="黑体" w:eastAsia="黑体" w:cs="黑体"/>
          <w:sz w:val="32"/>
          <w:szCs w:val="32"/>
        </w:rPr>
      </w:pPr>
    </w:p>
    <w:p>
      <w:pPr>
        <w:pStyle w:val="6"/>
        <w:tabs>
          <w:tab w:val="right" w:leader="dot" w:pos="8302"/>
        </w:tabs>
        <w:spacing w:line="340" w:lineRule="exact"/>
        <w:rPr>
          <w:rFonts w:ascii="黑体" w:hAnsi="黑体" w:eastAsia="黑体" w:cs="宋体"/>
          <w:sz w:val="32"/>
          <w:szCs w:val="32"/>
        </w:rPr>
      </w:pPr>
    </w:p>
    <w:p>
      <w:pPr>
        <w:rPr>
          <w:rFonts w:ascii="黑体" w:hAnsi="黑体" w:eastAsia="黑体" w:cs="宋体"/>
          <w:sz w:val="32"/>
          <w:szCs w:val="32"/>
        </w:rPr>
      </w:pPr>
    </w:p>
    <w:p>
      <w:pPr>
        <w:rPr>
          <w:rFonts w:ascii="黑体" w:hAnsi="黑体" w:eastAsia="黑体" w:cs="宋体"/>
          <w:sz w:val="32"/>
          <w:szCs w:val="32"/>
        </w:rPr>
      </w:pPr>
    </w:p>
    <w:p>
      <w:pPr>
        <w:rPr>
          <w:rFonts w:ascii="黑体" w:hAnsi="黑体" w:eastAsia="黑体" w:cs="宋体"/>
          <w:sz w:val="32"/>
          <w:szCs w:val="32"/>
        </w:rPr>
      </w:pPr>
    </w:p>
    <w:p>
      <w:pPr>
        <w:keepNext w:val="0"/>
        <w:keepLines w:val="0"/>
        <w:pageBreakBefore w:val="0"/>
        <w:kinsoku/>
        <w:wordWrap/>
        <w:overflowPunct/>
        <w:topLinePunct w:val="0"/>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kinsoku/>
        <w:wordWrap/>
        <w:overflowPunct/>
        <w:topLinePunct w:val="0"/>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kinsoku/>
        <w:wordWrap/>
        <w:overflowPunct/>
        <w:topLinePunct w:val="0"/>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kinsoku/>
        <w:wordWrap/>
        <w:overflowPunct/>
        <w:topLinePunct w:val="0"/>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kinsoku/>
        <w:wordWrap/>
        <w:overflowPunct/>
        <w:topLinePunct w:val="0"/>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35"/>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3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根据《海南省财政厅关于印发〈</w:t>
      </w:r>
      <w:r>
        <w:rPr>
          <w:rFonts w:hint="eastAsia" w:ascii="仿宋_GB2312" w:hAnsi="仿宋_GB2312" w:eastAsia="仿宋_GB2312" w:cs="仿宋_GB2312"/>
          <w:sz w:val="32"/>
          <w:szCs w:val="32"/>
          <w:lang w:val="en-US" w:eastAsia="zh-CN"/>
        </w:rPr>
        <w:t>省直单位预算绩效管理工作指引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的通知</w:t>
      </w:r>
      <w:r>
        <w:rPr>
          <w:rFonts w:hint="eastAsia" w:ascii="仿宋_GB2312" w:hAnsi="仿宋_GB2312" w:eastAsia="仿宋_GB2312" w:cs="仿宋_GB2312"/>
          <w:sz w:val="32"/>
          <w:szCs w:val="32"/>
          <w:lang w:eastAsia="zh-CN"/>
        </w:rPr>
        <w:t>》（琼财绩〔</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190号</w:t>
      </w:r>
      <w:r>
        <w:rPr>
          <w:rFonts w:hint="eastAsia" w:ascii="仿宋_GB2312" w:hAnsi="仿宋_GB2312" w:eastAsia="仿宋_GB2312" w:cs="仿宋_GB2312"/>
          <w:sz w:val="32"/>
          <w:szCs w:val="32"/>
          <w:lang w:eastAsia="zh-CN"/>
        </w:rPr>
        <w:t>）文件要求，海南省三亚市中级人民法院（以下简称三亚中院）</w:t>
      </w:r>
      <w:r>
        <w:rPr>
          <w:rFonts w:hint="eastAsia" w:ascii="仿宋_GB2312" w:hAnsi="仿宋_GB2312" w:eastAsia="仿宋_GB2312" w:cs="仿宋_GB2312"/>
          <w:sz w:val="32"/>
          <w:szCs w:val="32"/>
        </w:rPr>
        <w:t>于202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组织相关人员</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eastAsia="zh-CN"/>
        </w:rPr>
        <w:t>三亚中院</w:t>
      </w:r>
      <w:r>
        <w:rPr>
          <w:rFonts w:hint="eastAsia" w:ascii="仿宋_GB2312" w:hAnsi="仿宋_GB2312" w:eastAsia="仿宋_GB2312" w:cs="仿宋_GB2312"/>
          <w:sz w:val="32"/>
          <w:szCs w:val="32"/>
        </w:rPr>
        <w:t>管理的</w:t>
      </w:r>
      <w:r>
        <w:rPr>
          <w:rFonts w:hint="eastAsia" w:ascii="仿宋_GB2312" w:hAnsi="仿宋_GB2312" w:eastAsia="仿宋_GB2312" w:cs="仿宋_GB2312"/>
          <w:sz w:val="32"/>
          <w:szCs w:val="32"/>
          <w:lang w:eastAsia="zh-CN"/>
        </w:rPr>
        <w:t>三亚市诉调对接服务中心项</w:t>
      </w:r>
      <w:r>
        <w:rPr>
          <w:rFonts w:hint="eastAsia" w:ascii="仿宋_GB2312" w:hAnsi="仿宋_GB2312" w:eastAsia="仿宋_GB2312" w:cs="仿宋_GB2312"/>
          <w:sz w:val="32"/>
          <w:szCs w:val="32"/>
        </w:rPr>
        <w:t xml:space="preserve">目开展了绩效评价工作，评价情况如下： </w:t>
      </w:r>
    </w:p>
    <w:p>
      <w:pPr>
        <w:keepNext w:val="0"/>
        <w:keepLines w:val="0"/>
        <w:pageBreakBefore w:val="0"/>
        <w:kinsoku/>
        <w:wordWrap/>
        <w:overflowPunct/>
        <w:topLinePunct w:val="0"/>
        <w:autoSpaceDN/>
        <w:bidi w:val="0"/>
        <w:adjustRightInd/>
        <w:snapToGrid/>
        <w:spacing w:before="156" w:beforeLines="50" w:line="560" w:lineRule="exact"/>
        <w:ind w:firstLine="635"/>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一、基本情况</w:t>
      </w:r>
    </w:p>
    <w:p>
      <w:pPr>
        <w:pStyle w:val="7"/>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60" w:lineRule="exact"/>
        <w:ind w:firstLine="635"/>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三亚市诉调对接服务中心项目位于三亚市天涯区海田路。项目总用地面积为 6448.81㎡（约 9.7亩），总建筑面积为 14985.46㎡，其中地上建筑面积 9667.83㎡，地下建筑面积 5317.63㎡。主要建设内容包含：诉调对接服务中心大楼及地下室土建、装修、 安装，并配套建设室外道路、绿化、给排水、电气、消防等工程。</w:t>
      </w:r>
    </w:p>
    <w:p>
      <w:pPr>
        <w:pStyle w:val="7"/>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 xml:space="preserve">（二）项目年度预算绩效目标和绩效指标设定情况  </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kern w:val="0"/>
          <w:sz w:val="32"/>
          <w:szCs w:val="32"/>
        </w:rPr>
        <w:t>1、项目绩效总体目标：</w:t>
      </w:r>
      <w:r>
        <w:rPr>
          <w:rFonts w:hint="eastAsia" w:ascii="仿宋_GB2312" w:hAnsi="仿宋_GB2312" w:eastAsia="仿宋_GB2312" w:cs="仿宋_GB2312"/>
          <w:color w:val="000000"/>
          <w:kern w:val="0"/>
          <w:sz w:val="32"/>
          <w:szCs w:val="32"/>
        </w:rPr>
        <w:t>为三亚市中级人民法院</w:t>
      </w:r>
      <w:r>
        <w:rPr>
          <w:rFonts w:hint="eastAsia" w:ascii="仿宋_GB2312" w:hAnsi="仿宋_GB2312" w:eastAsia="仿宋_GB2312" w:cs="仿宋_GB2312"/>
          <w:color w:val="000000"/>
          <w:kern w:val="0"/>
          <w:sz w:val="32"/>
          <w:szCs w:val="32"/>
          <w:lang w:eastAsia="zh-CN"/>
        </w:rPr>
        <w:t>新建的</w:t>
      </w:r>
      <w:r>
        <w:rPr>
          <w:rFonts w:hint="eastAsia" w:ascii="仿宋_GB2312" w:hAnsi="仿宋_GB2312" w:eastAsia="仿宋_GB2312" w:cs="仿宋_GB2312"/>
          <w:kern w:val="0"/>
          <w:sz w:val="32"/>
          <w:szCs w:val="32"/>
          <w:lang w:val="en-US" w:eastAsia="zh-CN"/>
        </w:rPr>
        <w:t>三亚市诉调对接服务中心</w:t>
      </w:r>
      <w:r>
        <w:rPr>
          <w:rFonts w:hint="eastAsia" w:ascii="仿宋_GB2312" w:hAnsi="仿宋_GB2312" w:eastAsia="仿宋_GB2312" w:cs="仿宋_GB2312"/>
          <w:color w:val="000000"/>
          <w:kern w:val="0"/>
          <w:sz w:val="32"/>
          <w:szCs w:val="32"/>
          <w:lang w:eastAsia="zh-CN"/>
        </w:rPr>
        <w:t>提供</w:t>
      </w:r>
      <w:r>
        <w:rPr>
          <w:rFonts w:hint="eastAsia" w:ascii="仿宋_GB2312" w:hAnsi="仿宋_GB2312" w:eastAsia="仿宋_GB2312" w:cs="仿宋_GB2312"/>
          <w:color w:val="000000"/>
          <w:kern w:val="0"/>
          <w:sz w:val="32"/>
          <w:szCs w:val="32"/>
        </w:rPr>
        <w:t>经费保障，从而确保</w:t>
      </w:r>
      <w:r>
        <w:rPr>
          <w:rFonts w:hint="eastAsia" w:ascii="仿宋_GB2312" w:hAnsi="仿宋_GB2312" w:eastAsia="仿宋_GB2312" w:cs="仿宋_GB2312"/>
          <w:color w:val="000000"/>
          <w:kern w:val="0"/>
          <w:sz w:val="32"/>
          <w:szCs w:val="32"/>
          <w:lang w:eastAsia="zh-CN"/>
        </w:rPr>
        <w:t>该项目工程</w:t>
      </w:r>
      <w:r>
        <w:rPr>
          <w:rFonts w:hint="eastAsia" w:ascii="仿宋_GB2312" w:hAnsi="仿宋_GB2312" w:eastAsia="仿宋_GB2312" w:cs="仿宋_GB2312"/>
          <w:color w:val="000000"/>
          <w:kern w:val="0"/>
          <w:sz w:val="32"/>
          <w:szCs w:val="32"/>
        </w:rPr>
        <w:t>顺利</w:t>
      </w:r>
      <w:r>
        <w:rPr>
          <w:rFonts w:hint="eastAsia" w:ascii="仿宋_GB2312" w:hAnsi="仿宋_GB2312" w:eastAsia="仿宋_GB2312" w:cs="仿宋_GB2312"/>
          <w:color w:val="000000"/>
          <w:kern w:val="0"/>
          <w:sz w:val="32"/>
          <w:szCs w:val="32"/>
          <w:lang w:eastAsia="zh-CN"/>
        </w:rPr>
        <w:t>推进</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按期完成工程建设任务，早日投入使用</w:t>
      </w:r>
      <w:r>
        <w:rPr>
          <w:rFonts w:hint="eastAsia" w:ascii="仿宋_GB2312" w:hAnsi="仿宋_GB2312" w:eastAsia="仿宋_GB2312" w:cs="仿宋_GB2312"/>
          <w:color w:val="000000"/>
          <w:kern w:val="0"/>
          <w:sz w:val="32"/>
          <w:szCs w:val="32"/>
        </w:rPr>
        <w:t>。</w:t>
      </w:r>
    </w:p>
    <w:p>
      <w:pPr>
        <w:pStyle w:val="7"/>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eastAsia="zh-CN"/>
        </w:rPr>
        <w:t>202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lang w:eastAsia="zh-CN"/>
        </w:rPr>
        <w:t>年</w:t>
      </w:r>
      <w:r>
        <w:rPr>
          <w:rFonts w:hint="eastAsia" w:ascii="仿宋_GB2312" w:hAnsi="仿宋_GB2312" w:eastAsia="仿宋_GB2312" w:cs="仿宋_GB2312"/>
          <w:kern w:val="0"/>
          <w:sz w:val="32"/>
          <w:szCs w:val="32"/>
        </w:rPr>
        <w:t>年度目标：建设（改造、修缮）工程数量达标，项目受益人数150人以上，受益群体满意度90%以上。</w:t>
      </w:r>
    </w:p>
    <w:p>
      <w:pPr>
        <w:keepNext w:val="0"/>
        <w:keepLines w:val="0"/>
        <w:widowControl/>
        <w:suppressLineNumbers w:val="0"/>
        <w:ind w:firstLine="640" w:firstLineChars="200"/>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当年年度目标完成情况：</w:t>
      </w:r>
      <w:r>
        <w:rPr>
          <w:rFonts w:hint="eastAsia" w:ascii="仿宋_GB2312" w:hAnsi="仿宋_GB2312" w:eastAsia="仿宋_GB2312" w:cs="仿宋_GB2312"/>
          <w:kern w:val="0"/>
          <w:sz w:val="32"/>
          <w:szCs w:val="32"/>
          <w:lang w:val="en-US" w:eastAsia="zh-CN" w:bidi="ar"/>
        </w:rPr>
        <w:t>完成三亚市诉调对接服务中心项目的竣工验收并投入使用。建设工程数量达标，项目受益人数280人以上，受益群体满意度90%以上。很好地完成了设定的各项绩效目标。</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方正黑体_GBK" w:hAnsi="方正黑体_GBK" w:eastAsia="方正黑体_GBK" w:cs="方正黑体_GBK"/>
          <w:b w:val="0"/>
          <w:bCs/>
          <w:kern w:val="0"/>
          <w:sz w:val="32"/>
          <w:szCs w:val="32"/>
          <w:lang w:val="en-US" w:eastAsia="zh-CN" w:bidi="ar"/>
        </w:rPr>
      </w:pPr>
      <w:r>
        <w:rPr>
          <w:rFonts w:hint="eastAsia" w:ascii="方正黑体_GBK" w:hAnsi="方正黑体_GBK" w:eastAsia="方正黑体_GBK" w:cs="方正黑体_GBK"/>
          <w:b w:val="0"/>
          <w:bCs/>
          <w:kern w:val="0"/>
          <w:sz w:val="32"/>
          <w:szCs w:val="32"/>
          <w:lang w:val="en-US" w:eastAsia="zh-CN" w:bidi="ar"/>
        </w:rPr>
        <w:t>二、项目资金投入及使用管理情况</w:t>
      </w:r>
    </w:p>
    <w:p>
      <w:pPr>
        <w:keepNext w:val="0"/>
        <w:keepLines w:val="0"/>
        <w:pageBreakBefore w:val="0"/>
        <w:kinsoku/>
        <w:wordWrap/>
        <w:overflowPunct/>
        <w:topLinePunct w:val="0"/>
        <w:autoSpaceDN/>
        <w:bidi w:val="0"/>
        <w:adjustRightInd/>
        <w:snapToGrid/>
        <w:spacing w:beforeAutospacing="0" w:afterAutospacing="0" w:line="560" w:lineRule="exact"/>
        <w:ind w:firstLine="642" w:firstLineChars="200"/>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（一）资金投入情况分析</w:t>
      </w:r>
    </w:p>
    <w:p>
      <w:pPr>
        <w:keepNext w:val="0"/>
        <w:keepLines w:val="0"/>
        <w:pageBreakBefore w:val="0"/>
        <w:widowControl/>
        <w:numPr>
          <w:ilvl w:val="0"/>
          <w:numId w:val="0"/>
        </w:numPr>
        <w:kinsoku/>
        <w:wordWrap/>
        <w:overflowPunct/>
        <w:topLinePunct w:val="0"/>
        <w:autoSpaceDN/>
        <w:bidi w:val="0"/>
        <w:adjustRightInd/>
        <w:snapToGrid/>
        <w:spacing w:beforeAutospacing="0" w:afterAutospacing="0" w:line="560" w:lineRule="exact"/>
        <w:ind w:firstLine="64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2024年</w:t>
      </w:r>
      <w:r>
        <w:rPr>
          <w:rFonts w:hint="eastAsia" w:ascii="仿宋_GB2312" w:hAnsi="仿宋_GB2312" w:eastAsia="仿宋_GB2312" w:cs="仿宋_GB2312"/>
          <w:sz w:val="32"/>
          <w:szCs w:val="32"/>
          <w:lang w:eastAsia="zh-CN"/>
        </w:rPr>
        <w:t>三亚市诉调对接服务中心项目由三亚市财政局安排资金</w:t>
      </w:r>
      <w:r>
        <w:rPr>
          <w:rFonts w:hint="eastAsia" w:ascii="仿宋_GB2312" w:hAnsi="仿宋_GB2312" w:eastAsia="仿宋_GB2312" w:cs="仿宋_GB2312"/>
          <w:color w:val="000000"/>
          <w:kern w:val="0"/>
          <w:sz w:val="32"/>
          <w:szCs w:val="32"/>
          <w:lang w:val="en-US" w:eastAsia="zh-CN"/>
        </w:rPr>
        <w:t>1000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kern w:val="0"/>
          <w:sz w:val="32"/>
          <w:szCs w:val="32"/>
          <w:lang w:val="en-US" w:eastAsia="zh-CN"/>
        </w:rPr>
        <w:t>。截至2024年末实际到位资金768.38万元，全部为单位资金。</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2024年</w:t>
      </w:r>
      <w:r>
        <w:rPr>
          <w:rFonts w:hint="eastAsia" w:ascii="仿宋_GB2312" w:hAnsi="仿宋_GB2312" w:eastAsia="仿宋_GB2312" w:cs="仿宋_GB2312"/>
          <w:sz w:val="32"/>
          <w:szCs w:val="32"/>
          <w:lang w:eastAsia="zh-CN"/>
        </w:rPr>
        <w:t>三亚市诉调对接服务中心项目支出</w:t>
      </w:r>
      <w:r>
        <w:rPr>
          <w:rFonts w:hint="eastAsia" w:ascii="仿宋_GB2312" w:hAnsi="仿宋_GB2312" w:eastAsia="仿宋_GB2312" w:cs="仿宋_GB2312"/>
          <w:color w:val="000000"/>
          <w:kern w:val="0"/>
          <w:sz w:val="32"/>
          <w:szCs w:val="32"/>
          <w:lang w:val="en-US" w:eastAsia="zh-CN"/>
        </w:rPr>
        <w:t>768.38</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sz w:val="32"/>
          <w:szCs w:val="32"/>
          <w:lang w:eastAsia="zh-CN"/>
        </w:rPr>
        <w:t>完成</w:t>
      </w:r>
      <w:r>
        <w:rPr>
          <w:rFonts w:hint="eastAsia" w:ascii="仿宋_GB2312" w:hAnsi="仿宋_GB2312" w:eastAsia="仿宋_GB2312" w:cs="仿宋_GB2312"/>
          <w:sz w:val="32"/>
          <w:szCs w:val="32"/>
        </w:rPr>
        <w:t>率</w:t>
      </w:r>
      <w:r>
        <w:rPr>
          <w:rFonts w:hint="eastAsia" w:ascii="仿宋_GB2312" w:hAnsi="仿宋_GB2312" w:eastAsia="仿宋_GB2312" w:cs="仿宋_GB2312"/>
          <w:color w:val="000000"/>
          <w:kern w:val="0"/>
          <w:sz w:val="32"/>
          <w:szCs w:val="32"/>
          <w:lang w:val="en-US" w:eastAsia="zh-CN"/>
        </w:rPr>
        <w:t>76.84%。全部用于该项目的工程进度款及工程二类费等相关开支。</w:t>
      </w:r>
    </w:p>
    <w:p>
      <w:pPr>
        <w:keepNext w:val="0"/>
        <w:keepLines w:val="0"/>
        <w:pageBreakBefore w:val="0"/>
        <w:numPr>
          <w:ilvl w:val="0"/>
          <w:numId w:val="5"/>
        </w:numPr>
        <w:kinsoku/>
        <w:wordWrap/>
        <w:overflowPunct/>
        <w:topLinePunct w:val="0"/>
        <w:autoSpaceDN/>
        <w:bidi w:val="0"/>
        <w:adjustRightInd/>
        <w:snapToGrid/>
        <w:spacing w:beforeAutospacing="0" w:afterAutospacing="0" w:line="560" w:lineRule="exact"/>
        <w:ind w:firstLine="642" w:firstLineChars="200"/>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总体绩效目标完成情况分析</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三亚市诉调对接服务中心</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为诉调大楼建设</w:t>
      </w:r>
      <w:r>
        <w:rPr>
          <w:rFonts w:hint="eastAsia" w:ascii="仿宋_GB2312" w:hAnsi="仿宋_GB2312" w:eastAsia="仿宋_GB2312" w:cs="仿宋_GB2312"/>
          <w:sz w:val="32"/>
          <w:szCs w:val="32"/>
        </w:rPr>
        <w:t>提供</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经费保障，确保高效、高质的完成</w:t>
      </w:r>
      <w:r>
        <w:rPr>
          <w:rFonts w:hint="eastAsia" w:ascii="仿宋_GB2312" w:hAnsi="仿宋_GB2312" w:eastAsia="仿宋_GB2312" w:cs="仿宋_GB2312"/>
          <w:sz w:val="32"/>
          <w:szCs w:val="32"/>
          <w:lang w:eastAsia="zh-CN"/>
        </w:rPr>
        <w:t>项目建设</w:t>
      </w:r>
      <w:r>
        <w:rPr>
          <w:rFonts w:hint="eastAsia" w:ascii="仿宋_GB2312" w:hAnsi="仿宋_GB2312" w:eastAsia="仿宋_GB2312" w:cs="仿宋_GB2312"/>
          <w:sz w:val="32"/>
          <w:szCs w:val="32"/>
        </w:rPr>
        <w:t>等相关工作，</w:t>
      </w:r>
      <w:r>
        <w:rPr>
          <w:rFonts w:hint="eastAsia" w:ascii="仿宋_GB2312" w:hAnsi="仿宋_GB2312" w:eastAsia="仿宋_GB2312" w:cs="仿宋_GB2312"/>
          <w:sz w:val="32"/>
          <w:szCs w:val="32"/>
          <w:lang w:eastAsia="zh-CN"/>
        </w:rPr>
        <w:t>更好地为人民群众提供专业、高效、便捷的司法服务</w:t>
      </w:r>
      <w:r>
        <w:rPr>
          <w:rFonts w:hint="eastAsia" w:ascii="仿宋_GB2312" w:hAnsi="仿宋_GB2312" w:eastAsia="仿宋_GB2312" w:cs="仿宋_GB2312"/>
          <w:sz w:val="32"/>
          <w:szCs w:val="32"/>
        </w:rPr>
        <w:t>，同时有效利用资金。三亚市</w:t>
      </w:r>
      <w:r>
        <w:rPr>
          <w:rFonts w:hint="eastAsia" w:ascii="仿宋_GB2312" w:hAnsi="仿宋_GB2312" w:eastAsia="仿宋_GB2312" w:cs="仿宋_GB2312"/>
          <w:sz w:val="32"/>
          <w:szCs w:val="32"/>
          <w:lang w:eastAsia="zh-CN"/>
        </w:rPr>
        <w:t>诉调对接服务中心</w:t>
      </w:r>
      <w:r>
        <w:rPr>
          <w:rFonts w:hint="eastAsia" w:ascii="仿宋_GB2312" w:hAnsi="仿宋_GB2312" w:eastAsia="仿宋_GB2312" w:cs="仿宋_GB2312"/>
          <w:sz w:val="32"/>
          <w:szCs w:val="32"/>
        </w:rPr>
        <w:t>项目整体</w:t>
      </w:r>
      <w:r>
        <w:rPr>
          <w:rFonts w:hint="eastAsia" w:ascii="仿宋_GB2312" w:hAnsi="仿宋_GB2312" w:eastAsia="仿宋_GB2312" w:cs="仿宋_GB2312"/>
          <w:sz w:val="32"/>
          <w:szCs w:val="32"/>
          <w:lang w:eastAsia="zh-CN"/>
        </w:rPr>
        <w:t>施工进展顺利</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每一阶段施工均</w:t>
      </w:r>
      <w:r>
        <w:rPr>
          <w:rFonts w:hint="eastAsia" w:ascii="仿宋_GB2312" w:hAnsi="仿宋_GB2312" w:eastAsia="仿宋_GB2312" w:cs="仿宋_GB2312"/>
          <w:sz w:val="32"/>
          <w:szCs w:val="32"/>
        </w:rPr>
        <w:t>符合国家质量标准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2024年度已完成竣工验收并投入使用，</w:t>
      </w:r>
      <w:r>
        <w:rPr>
          <w:rFonts w:hint="eastAsia" w:ascii="仿宋_GB2312" w:hAnsi="仿宋_GB2312" w:eastAsia="仿宋_GB2312" w:cs="仿宋_GB2312"/>
          <w:sz w:val="32"/>
          <w:szCs w:val="32"/>
          <w:lang w:eastAsia="zh-CN"/>
        </w:rPr>
        <w:t>项目总体绩效目标完成良好</w:t>
      </w:r>
      <w:r>
        <w:rPr>
          <w:rFonts w:hint="eastAsia" w:ascii="仿宋_GB2312" w:hAnsi="仿宋_GB2312" w:eastAsia="仿宋_GB2312" w:cs="仿宋_GB2312"/>
          <w:sz w:val="32"/>
          <w:szCs w:val="32"/>
        </w:rPr>
        <w:t>。</w:t>
      </w:r>
    </w:p>
    <w:p>
      <w:pPr>
        <w:keepNext w:val="0"/>
        <w:keepLines w:val="0"/>
        <w:pageBreakBefore w:val="0"/>
        <w:numPr>
          <w:ilvl w:val="0"/>
          <w:numId w:val="0"/>
        </w:numPr>
        <w:kinsoku/>
        <w:wordWrap/>
        <w:overflowPunct/>
        <w:topLinePunct w:val="0"/>
        <w:autoSpaceDN/>
        <w:bidi w:val="0"/>
        <w:adjustRightInd/>
        <w:snapToGrid/>
        <w:spacing w:beforeAutospacing="0" w:afterAutospacing="0" w:line="560" w:lineRule="exact"/>
        <w:ind w:firstLine="602"/>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绩效指标完成情况分析</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产出指标</w:t>
      </w:r>
      <w:r>
        <w:rPr>
          <w:rFonts w:hint="eastAsia" w:ascii="仿宋_GB2312" w:hAnsi="仿宋_GB2312" w:eastAsia="仿宋_GB2312" w:cs="仿宋_GB2312"/>
          <w:sz w:val="32"/>
          <w:szCs w:val="32"/>
          <w:lang w:eastAsia="zh-CN"/>
        </w:rPr>
        <w:t>（数量指标）</w:t>
      </w:r>
      <w:r>
        <w:rPr>
          <w:rFonts w:hint="eastAsia" w:ascii="仿宋_GB2312" w:hAnsi="仿宋_GB2312" w:eastAsia="仿宋_GB2312" w:cs="仿宋_GB2312"/>
          <w:sz w:val="32"/>
          <w:szCs w:val="32"/>
        </w:rPr>
        <w:t>完成情况分析</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项目绩效目标：建设（改造、修缮）工程数量1个。该项目2024年正常施工，2024年6月份完成竣工验收并投入使用，建设工程推进顺利，实际产出指标已完成</w:t>
      </w:r>
      <w:r>
        <w:rPr>
          <w:rFonts w:hint="eastAsia" w:ascii="仿宋_GB2312" w:hAnsi="仿宋_GB2312" w:eastAsia="仿宋_GB2312" w:cs="仿宋_GB2312"/>
          <w:color w:val="000000"/>
          <w:kern w:val="0"/>
          <w:sz w:val="32"/>
          <w:szCs w:val="32"/>
        </w:rPr>
        <w:t>。</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效益指标完成情况分析</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val="en-US" w:eastAsia="zh-CN"/>
        </w:rPr>
        <w:t>项目绩效目标：项目受益人数150人以上。该项目受益群体为全体干警及社会大众，</w:t>
      </w:r>
      <w:r>
        <w:rPr>
          <w:rFonts w:hint="eastAsia" w:ascii="仿宋_GB2312" w:hAnsi="仿宋_GB2312" w:eastAsia="仿宋_GB2312" w:cs="仿宋_GB2312"/>
          <w:kern w:val="0"/>
          <w:sz w:val="32"/>
          <w:szCs w:val="32"/>
        </w:rPr>
        <w:t>项目</w:t>
      </w:r>
      <w:r>
        <w:rPr>
          <w:rFonts w:hint="eastAsia" w:ascii="仿宋_GB2312" w:hAnsi="仿宋_GB2312" w:eastAsia="仿宋_GB2312" w:cs="仿宋_GB2312"/>
          <w:kern w:val="0"/>
          <w:sz w:val="32"/>
          <w:szCs w:val="32"/>
          <w:lang w:eastAsia="zh-CN"/>
        </w:rPr>
        <w:t>实际</w:t>
      </w:r>
      <w:r>
        <w:rPr>
          <w:rFonts w:hint="eastAsia" w:ascii="仿宋_GB2312" w:hAnsi="仿宋_GB2312" w:eastAsia="仿宋_GB2312" w:cs="仿宋_GB2312"/>
          <w:kern w:val="0"/>
          <w:sz w:val="32"/>
          <w:szCs w:val="32"/>
        </w:rPr>
        <w:t>受益人数</w:t>
      </w:r>
      <w:r>
        <w:rPr>
          <w:rFonts w:hint="eastAsia" w:ascii="仿宋_GB2312" w:hAnsi="仿宋_GB2312" w:eastAsia="仿宋_GB2312" w:cs="仿宋_GB2312"/>
          <w:kern w:val="0"/>
          <w:sz w:val="32"/>
          <w:szCs w:val="32"/>
          <w:lang w:val="en-US" w:eastAsia="zh-CN"/>
        </w:rPr>
        <w:t>280</w:t>
      </w:r>
      <w:r>
        <w:rPr>
          <w:rFonts w:hint="eastAsia" w:ascii="仿宋_GB2312" w:hAnsi="仿宋_GB2312" w:eastAsia="仿宋_GB2312" w:cs="仿宋_GB2312"/>
          <w:kern w:val="0"/>
          <w:sz w:val="32"/>
          <w:szCs w:val="32"/>
        </w:rPr>
        <w:t>人</w:t>
      </w:r>
      <w:r>
        <w:rPr>
          <w:rFonts w:hint="eastAsia" w:ascii="仿宋_GB2312" w:hAnsi="仿宋_GB2312" w:eastAsia="仿宋_GB2312" w:cs="仿宋_GB2312"/>
          <w:kern w:val="0"/>
          <w:sz w:val="32"/>
          <w:szCs w:val="32"/>
          <w:lang w:eastAsia="zh-CN"/>
        </w:rPr>
        <w:t>以上，效益指标已完成</w:t>
      </w:r>
      <w:r>
        <w:rPr>
          <w:rFonts w:hint="eastAsia" w:ascii="仿宋_GB2312" w:hAnsi="仿宋_GB2312" w:eastAsia="仿宋_GB2312" w:cs="仿宋_GB2312"/>
          <w:color w:val="000000"/>
          <w:kern w:val="0"/>
          <w:sz w:val="32"/>
          <w:szCs w:val="32"/>
          <w:lang w:val="en-US" w:eastAsia="zh-CN"/>
        </w:rPr>
        <w:t>。</w:t>
      </w:r>
    </w:p>
    <w:p>
      <w:pPr>
        <w:keepNext w:val="0"/>
        <w:keepLines w:val="0"/>
        <w:pageBreakBefore w:val="0"/>
        <w:numPr>
          <w:ilvl w:val="0"/>
          <w:numId w:val="0"/>
        </w:numPr>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满意度指标完成情况分析</w:t>
      </w:r>
    </w:p>
    <w:p>
      <w:pPr>
        <w:keepNext w:val="0"/>
        <w:keepLines w:val="0"/>
        <w:pageBreakBefore w:val="0"/>
        <w:widowControl/>
        <w:numPr>
          <w:ilvl w:val="0"/>
          <w:numId w:val="0"/>
        </w:numPr>
        <w:kinsoku/>
        <w:wordWrap/>
        <w:overflowPunct/>
        <w:topLinePunct w:val="0"/>
        <w:autoSpaceDN/>
        <w:bidi w:val="0"/>
        <w:adjustRightInd/>
        <w:snapToGrid/>
        <w:spacing w:beforeAutospacing="0" w:afterAutospacing="0"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项目绩效目标：职工满意度达90%以上。</w:t>
      </w:r>
      <w:r>
        <w:rPr>
          <w:rFonts w:hint="eastAsia" w:ascii="仿宋_GB2312" w:hAnsi="仿宋_GB2312" w:eastAsia="仿宋_GB2312" w:cs="仿宋_GB2312"/>
          <w:sz w:val="32"/>
          <w:szCs w:val="32"/>
          <w:lang w:eastAsia="zh-CN"/>
        </w:rPr>
        <w:t>三亚市诉调对接服务中心</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kern w:val="0"/>
          <w:sz w:val="32"/>
          <w:szCs w:val="32"/>
          <w:lang w:val="en-US" w:eastAsia="zh-CN"/>
        </w:rPr>
        <w:t>为诉调服务中心大楼建设提供了经费保障，项目完成情况良好，职工较为满意，满意度达95%，满意度指标已完成。</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方正黑体_GBK" w:hAnsi="方正黑体_GBK" w:eastAsia="方正黑体_GBK" w:cs="方正黑体_GBK"/>
          <w:b w:val="0"/>
          <w:bCs/>
          <w:kern w:val="0"/>
          <w:sz w:val="32"/>
          <w:szCs w:val="32"/>
          <w:lang w:val="en-US" w:eastAsia="zh-CN" w:bidi="ar"/>
        </w:rPr>
      </w:pPr>
      <w:r>
        <w:rPr>
          <w:rFonts w:hint="eastAsia" w:ascii="方正黑体_GBK" w:hAnsi="方正黑体_GBK" w:eastAsia="方正黑体_GBK" w:cs="方正黑体_GBK"/>
          <w:b w:val="0"/>
          <w:bCs/>
          <w:kern w:val="0"/>
          <w:sz w:val="32"/>
          <w:szCs w:val="32"/>
          <w:lang w:val="en-US" w:eastAsia="zh-CN" w:bidi="ar"/>
        </w:rPr>
        <w:t>三、项目资金管理情况</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方正仿宋_GBK" w:hAnsi="方正仿宋_GBK" w:eastAsia="方正仿宋_GBK" w:cs="方正仿宋_GBK"/>
          <w:sz w:val="32"/>
          <w:szCs w:val="32"/>
        </w:rPr>
      </w:pPr>
      <w:r>
        <w:rPr>
          <w:rFonts w:hint="eastAsia" w:ascii="仿宋_GB2312" w:hAnsi="仿宋_GB2312" w:eastAsia="仿宋_GB2312" w:cs="仿宋_GB2312"/>
          <w:sz w:val="32"/>
          <w:szCs w:val="32"/>
          <w:lang w:eastAsia="zh-CN"/>
        </w:rPr>
        <w:t>三亚市诉调对接服务中心</w:t>
      </w:r>
      <w:r>
        <w:rPr>
          <w:rFonts w:hint="eastAsia" w:ascii="仿宋_GB2312" w:hAnsi="仿宋_GB2312" w:eastAsia="仿宋_GB2312" w:cs="仿宋_GB2312"/>
          <w:kern w:val="0"/>
          <w:sz w:val="32"/>
          <w:szCs w:val="32"/>
          <w:lang w:val="en-US" w:eastAsia="zh-CN"/>
        </w:rPr>
        <w:t>项目实施过程中，严格按照相关规章制度开支各项经费支出，2024年</w:t>
      </w:r>
      <w:r>
        <w:rPr>
          <w:rFonts w:hint="eastAsia" w:ascii="仿宋_GB2312" w:hAnsi="仿宋_GB2312" w:eastAsia="仿宋_GB2312" w:cs="仿宋_GB2312"/>
          <w:sz w:val="32"/>
          <w:szCs w:val="32"/>
          <w:lang w:eastAsia="zh-CN"/>
        </w:rPr>
        <w:t>由三亚市财政局安排资金</w:t>
      </w:r>
      <w:r>
        <w:rPr>
          <w:rFonts w:hint="eastAsia" w:ascii="仿宋_GB2312" w:hAnsi="仿宋_GB2312" w:eastAsia="仿宋_GB2312" w:cs="仿宋_GB2312"/>
          <w:color w:val="000000"/>
          <w:kern w:val="0"/>
          <w:sz w:val="32"/>
          <w:szCs w:val="32"/>
          <w:lang w:val="en-US" w:eastAsia="zh-CN"/>
        </w:rPr>
        <w:t>1000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kern w:val="0"/>
          <w:sz w:val="32"/>
          <w:szCs w:val="32"/>
          <w:lang w:val="en-US" w:eastAsia="zh-CN"/>
        </w:rPr>
        <w:t>，实际拨付到单位基建账户资金768.38万元，</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color w:val="000000"/>
          <w:kern w:val="0"/>
          <w:sz w:val="32"/>
          <w:szCs w:val="32"/>
          <w:lang w:val="en-US" w:eastAsia="zh-CN"/>
        </w:rPr>
        <w:t>768.38</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sz w:val="32"/>
          <w:szCs w:val="32"/>
          <w:lang w:eastAsia="zh-CN"/>
        </w:rPr>
        <w:t>完成</w:t>
      </w:r>
      <w:r>
        <w:rPr>
          <w:rFonts w:hint="eastAsia" w:ascii="仿宋_GB2312" w:hAnsi="仿宋_GB2312" w:eastAsia="仿宋_GB2312" w:cs="仿宋_GB2312"/>
          <w:sz w:val="32"/>
          <w:szCs w:val="32"/>
        </w:rPr>
        <w:t>率</w:t>
      </w:r>
      <w:r>
        <w:rPr>
          <w:rFonts w:hint="eastAsia" w:ascii="仿宋_GB2312" w:hAnsi="仿宋_GB2312" w:eastAsia="仿宋_GB2312" w:cs="仿宋_GB2312"/>
          <w:color w:val="000000"/>
          <w:kern w:val="0"/>
          <w:sz w:val="32"/>
          <w:szCs w:val="32"/>
          <w:lang w:val="en-US" w:eastAsia="zh-CN"/>
        </w:rPr>
        <w:t>76.84%，全部用于该项目的工程进度款及工程二类费等相关开支。2024年该</w:t>
      </w:r>
      <w:r>
        <w:rPr>
          <w:rFonts w:hint="eastAsia" w:ascii="仿宋_GB2312" w:hAnsi="仿宋_GB2312" w:eastAsia="仿宋_GB2312" w:cs="仿宋_GB2312"/>
          <w:kern w:val="0"/>
          <w:sz w:val="32"/>
          <w:szCs w:val="32"/>
          <w:lang w:val="en-US" w:eastAsia="zh-CN"/>
        </w:rPr>
        <w:t>项目每一次资金支付均严格按规定审核，支付</w:t>
      </w:r>
      <w:bookmarkStart w:id="119" w:name="_GoBack"/>
      <w:bookmarkEnd w:id="119"/>
      <w:r>
        <w:rPr>
          <w:rFonts w:hint="eastAsia" w:ascii="仿宋_GB2312" w:hAnsi="仿宋_GB2312" w:eastAsia="仿宋_GB2312" w:cs="仿宋_GB2312"/>
          <w:kern w:val="0"/>
          <w:sz w:val="32"/>
          <w:szCs w:val="32"/>
          <w:lang w:val="en-US" w:eastAsia="zh-CN"/>
        </w:rPr>
        <w:t>环节合规，资金管理规范。</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方正黑体_GBK" w:hAnsi="方正黑体_GBK" w:eastAsia="方正黑体_GBK" w:cs="方正黑体_GBK"/>
          <w:b w:val="0"/>
          <w:bCs/>
          <w:kern w:val="0"/>
          <w:sz w:val="32"/>
          <w:szCs w:val="32"/>
          <w:lang w:val="en-US" w:eastAsia="zh-CN" w:bidi="ar"/>
        </w:rPr>
      </w:pPr>
      <w:r>
        <w:rPr>
          <w:rFonts w:hint="eastAsia" w:ascii="方正黑体_GBK" w:hAnsi="方正黑体_GBK" w:eastAsia="方正黑体_GBK" w:cs="方正黑体_GBK"/>
          <w:b w:val="0"/>
          <w:bCs/>
          <w:kern w:val="0"/>
          <w:sz w:val="32"/>
          <w:szCs w:val="32"/>
          <w:lang w:val="en-US" w:eastAsia="zh-CN" w:bidi="ar"/>
        </w:rPr>
        <w:t>四、主要经验及做法</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三亚市诉调对接服务中心项目</w:t>
      </w:r>
      <w:r>
        <w:rPr>
          <w:rFonts w:hint="eastAsia" w:ascii="仿宋_GB2312" w:hAnsi="仿宋_GB2312" w:eastAsia="仿宋_GB2312" w:cs="仿宋_GB2312"/>
          <w:sz w:val="32"/>
          <w:szCs w:val="32"/>
        </w:rPr>
        <w:t>资金完全按照中央和省级经费支出相关规章制度支出，用于保障</w:t>
      </w:r>
      <w:r>
        <w:rPr>
          <w:rFonts w:hint="eastAsia" w:ascii="仿宋_GB2312" w:hAnsi="仿宋_GB2312" w:eastAsia="仿宋_GB2312" w:cs="仿宋_GB2312"/>
          <w:sz w:val="32"/>
          <w:szCs w:val="32"/>
          <w:lang w:eastAsia="zh-CN"/>
        </w:rPr>
        <w:t>项目顺利开展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建成后，将更好地发挥司法在多元解纠机制中的引领、推动、保障作用，更好地整合有关部门的力量，建立健全诉讼与非诉讼的有机衔接、相互协调的多元化解纷机制，更好地为人民群众提供专业、高效、便捷的司法服务，全面提升三亚社会综合治理的法治化、专业化水平。</w:t>
      </w:r>
      <w:r>
        <w:rPr>
          <w:rFonts w:hint="eastAsia" w:ascii="仿宋_GB2312" w:hAnsi="仿宋_GB2312" w:eastAsia="仿宋_GB2312" w:cs="仿宋_GB2312"/>
          <w:sz w:val="32"/>
          <w:szCs w:val="32"/>
        </w:rPr>
        <w:t>执行过程中严格审核每一项项目经费支出，确保项目资金有效利用。</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lang w:eastAsia="zh-CN"/>
        </w:rPr>
        <w:t>五、</w:t>
      </w:r>
      <w:r>
        <w:rPr>
          <w:rFonts w:hint="eastAsia" w:ascii="方正黑体_GBK" w:hAnsi="方正黑体_GBK" w:eastAsia="方正黑体_GBK" w:cs="方正黑体_GBK"/>
          <w:sz w:val="32"/>
          <w:szCs w:val="32"/>
        </w:rPr>
        <w:t>绩效评价综合情况及结论</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该项目绩效评价总分为100分，通过</w:t>
      </w:r>
      <w:r>
        <w:rPr>
          <w:rFonts w:hint="eastAsia" w:ascii="仿宋_GB2312" w:hAnsi="仿宋_GB2312" w:eastAsia="仿宋_GB2312" w:cs="仿宋_GB2312"/>
          <w:sz w:val="32"/>
          <w:szCs w:val="32"/>
          <w:lang w:eastAsia="zh-CN"/>
        </w:rPr>
        <w:t>资料</w:t>
      </w:r>
      <w:r>
        <w:rPr>
          <w:rFonts w:hint="eastAsia" w:ascii="仿宋_GB2312" w:hAnsi="仿宋_GB2312" w:eastAsia="仿宋_GB2312" w:cs="仿宋_GB2312"/>
          <w:sz w:val="32"/>
          <w:szCs w:val="32"/>
        </w:rPr>
        <w:t>研究、实地调研、问卷调查、访谈面谈和综合分析等方式综合评价，该项目绩效评价实际得分</w:t>
      </w:r>
      <w:r>
        <w:rPr>
          <w:rFonts w:hint="eastAsia" w:ascii="仿宋_GB2312" w:hAnsi="仿宋_GB2312" w:eastAsia="仿宋_GB2312" w:cs="仿宋_GB2312"/>
          <w:sz w:val="32"/>
          <w:szCs w:val="32"/>
          <w:lang w:val="en-US" w:eastAsia="zh-CN"/>
        </w:rPr>
        <w:t>98</w:t>
      </w:r>
      <w:r>
        <w:rPr>
          <w:rFonts w:hint="eastAsia" w:ascii="仿宋_GB2312" w:hAnsi="仿宋_GB2312" w:eastAsia="仿宋_GB2312" w:cs="仿宋_GB2312"/>
          <w:sz w:val="32"/>
          <w:szCs w:val="32"/>
        </w:rPr>
        <w:t>分，项目总体绩效等级为“优”。</w:t>
      </w:r>
    </w:p>
    <w:p>
      <w:pPr>
        <w:keepNext w:val="0"/>
        <w:keepLines w:val="0"/>
        <w:pageBreakBefore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黑体_GBK" w:hAnsi="方正黑体_GBK" w:eastAsia="方正黑体_GBK" w:cs="方正黑体_GBK"/>
          <w:b w:val="0"/>
          <w:bCs w:val="0"/>
          <w:sz w:val="32"/>
          <w:szCs w:val="32"/>
          <w:lang w:eastAsia="zh-CN"/>
        </w:rPr>
        <w:t>六、</w:t>
      </w:r>
      <w:r>
        <w:rPr>
          <w:rFonts w:hint="eastAsia" w:ascii="方正黑体_GBK" w:hAnsi="方正黑体_GBK" w:eastAsia="方正黑体_GBK" w:cs="方正黑体_GBK"/>
          <w:b w:val="0"/>
          <w:bCs w:val="0"/>
          <w:sz w:val="32"/>
          <w:szCs w:val="32"/>
        </w:rPr>
        <w:t>相关建议</w:t>
      </w:r>
    </w:p>
    <w:p>
      <w:pPr>
        <w:keepNext w:val="0"/>
        <w:keepLines w:val="0"/>
        <w:pageBreakBefore w:val="0"/>
        <w:numPr>
          <w:ilvl w:val="0"/>
          <w:numId w:val="0"/>
        </w:numPr>
        <w:kinsoku/>
        <w:wordWrap/>
        <w:overflowPunct/>
        <w:topLinePunct w:val="0"/>
        <w:autoSpaceDN/>
        <w:bidi w:val="0"/>
        <w:adjustRightInd/>
        <w:snapToGrid/>
        <w:spacing w:line="560" w:lineRule="exact"/>
        <w:ind w:firstLine="664" w:firstLineChars="200"/>
        <w:textAlignment w:val="auto"/>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lang w:eastAsia="zh-CN"/>
        </w:rPr>
        <w:t>（一）</w:t>
      </w:r>
      <w:r>
        <w:rPr>
          <w:rFonts w:hint="eastAsia" w:ascii="仿宋_GB2312" w:hAnsi="仿宋_GB2312" w:eastAsia="仿宋_GB2312" w:cs="仿宋_GB2312"/>
          <w:spacing w:val="6"/>
          <w:sz w:val="32"/>
          <w:szCs w:val="32"/>
        </w:rPr>
        <w:t>建议项目实施</w:t>
      </w:r>
      <w:r>
        <w:rPr>
          <w:rFonts w:hint="eastAsia" w:ascii="仿宋_GB2312" w:hAnsi="仿宋_GB2312" w:eastAsia="仿宋_GB2312" w:cs="仿宋_GB2312"/>
          <w:spacing w:val="6"/>
          <w:sz w:val="32"/>
          <w:szCs w:val="32"/>
          <w:lang w:eastAsia="zh-CN"/>
        </w:rPr>
        <w:t>部门</w:t>
      </w:r>
      <w:r>
        <w:rPr>
          <w:rFonts w:hint="eastAsia" w:ascii="仿宋_GB2312" w:hAnsi="仿宋_GB2312" w:eastAsia="仿宋_GB2312" w:cs="仿宋_GB2312"/>
          <w:spacing w:val="6"/>
          <w:sz w:val="32"/>
          <w:szCs w:val="32"/>
        </w:rPr>
        <w:t>加强项目前期准备工作，在项目立项的同时及时做好环境影响评价、节能评估和审查、水土保持及地质灾害评估等前期工作，结合实际及时编制项目初步设计及概算，确保项目顺利及时实施并取得预期效果。</w:t>
      </w:r>
    </w:p>
    <w:p>
      <w:pPr>
        <w:keepNext w:val="0"/>
        <w:keepLines w:val="0"/>
        <w:pageBreakBefore w:val="0"/>
        <w:numPr>
          <w:ilvl w:val="0"/>
          <w:numId w:val="0"/>
        </w:numPr>
        <w:kinsoku/>
        <w:wordWrap/>
        <w:overflowPunct/>
        <w:topLinePunct w:val="0"/>
        <w:autoSpaceDN/>
        <w:bidi w:val="0"/>
        <w:adjustRightInd/>
        <w:snapToGrid/>
        <w:spacing w:line="560" w:lineRule="exact"/>
        <w:ind w:firstLine="664" w:firstLineChars="200"/>
        <w:textAlignment w:val="auto"/>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lang w:eastAsia="zh-CN"/>
        </w:rPr>
        <w:t>（二）</w:t>
      </w:r>
      <w:r>
        <w:rPr>
          <w:rFonts w:hint="eastAsia" w:ascii="仿宋_GB2312" w:hAnsi="仿宋_GB2312" w:eastAsia="仿宋_GB2312" w:cs="仿宋_GB2312"/>
          <w:spacing w:val="6"/>
          <w:sz w:val="32"/>
          <w:szCs w:val="32"/>
        </w:rPr>
        <w:t>建议项目</w:t>
      </w:r>
      <w:r>
        <w:rPr>
          <w:rFonts w:hint="eastAsia" w:ascii="仿宋_GB2312" w:hAnsi="仿宋_GB2312" w:eastAsia="仿宋_GB2312" w:cs="仿宋_GB2312"/>
          <w:spacing w:val="6"/>
          <w:sz w:val="32"/>
          <w:szCs w:val="32"/>
          <w:lang w:eastAsia="zh-CN"/>
        </w:rPr>
        <w:t>管理部门</w:t>
      </w:r>
      <w:r>
        <w:rPr>
          <w:rFonts w:hint="eastAsia" w:ascii="仿宋_GB2312" w:hAnsi="仿宋_GB2312" w:eastAsia="仿宋_GB2312" w:cs="仿宋_GB2312"/>
          <w:spacing w:val="6"/>
          <w:sz w:val="32"/>
          <w:szCs w:val="32"/>
        </w:rPr>
        <w:t>在实施项目时严格按照合同条款实施，如在实施过程中确实需要调整实施内容，应及时签订补充协议及变更工期，避免后续产生经济纠纷。</w:t>
      </w:r>
    </w:p>
    <w:p>
      <w:pPr>
        <w:keepNext w:val="0"/>
        <w:keepLines w:val="0"/>
        <w:pageBreakBefore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方正仿宋_GBK" w:hAnsi="方正仿宋_GBK" w:eastAsia="方正仿宋_GBK" w:cs="方正仿宋_GBK"/>
          <w:sz w:val="32"/>
          <w:szCs w:val="32"/>
          <w:lang w:eastAsia="zh-CN"/>
        </w:rPr>
      </w:pPr>
    </w:p>
    <w:p>
      <w:pPr>
        <w:pStyle w:val="7"/>
        <w:keepNext w:val="0"/>
        <w:keepLines w:val="0"/>
        <w:pageBreakBefore w:val="0"/>
        <w:widowControl/>
        <w:numPr>
          <w:ilvl w:val="0"/>
          <w:numId w:val="0"/>
        </w:numPr>
        <w:suppressLineNumbers w:val="0"/>
        <w:kinsoku/>
        <w:wordWrap/>
        <w:overflowPunct/>
        <w:topLinePunct w:val="0"/>
        <w:autoSpaceDE w:val="0"/>
        <w:autoSpaceDN/>
        <w:bidi w:val="0"/>
        <w:adjustRightInd/>
        <w:snapToGrid/>
        <w:spacing w:beforeAutospacing="0" w:afterAutospacing="0" w:line="560" w:lineRule="exact"/>
        <w:ind w:left="645" w:leftChars="0" w:right="0" w:rightChars="0"/>
        <w:textAlignment w:val="auto"/>
        <w:rPr>
          <w:rFonts w:hint="eastAsia" w:ascii="方正仿宋_GBK" w:hAnsi="方正仿宋_GBK" w:eastAsia="方正仿宋_GBK" w:cs="方正仿宋_GBK"/>
          <w:kern w:val="0"/>
          <w:sz w:val="32"/>
          <w:szCs w:val="32"/>
        </w:rPr>
      </w:pPr>
    </w:p>
    <w:p>
      <w:pPr>
        <w:keepNext w:val="0"/>
        <w:keepLines w:val="0"/>
        <w:pageBreakBefore w:val="0"/>
        <w:kinsoku/>
        <w:wordWrap/>
        <w:overflowPunct/>
        <w:topLinePunct w:val="0"/>
        <w:autoSpaceDN/>
        <w:bidi w:val="0"/>
        <w:adjustRightInd/>
        <w:snapToGrid/>
        <w:spacing w:line="560" w:lineRule="exact"/>
        <w:ind w:left="1024"/>
        <w:textAlignment w:val="auto"/>
        <w:rPr>
          <w:rFonts w:hint="eastAsia" w:ascii="方正仿宋_GBK" w:hAnsi="方正仿宋_GBK" w:eastAsia="方正仿宋_GBK" w:cs="方正仿宋_GBK"/>
          <w:spacing w:val="6"/>
          <w:sz w:val="32"/>
          <w:szCs w:val="32"/>
        </w:rPr>
      </w:pPr>
    </w:p>
    <w:p>
      <w:pPr>
        <w:keepNext w:val="0"/>
        <w:keepLines w:val="0"/>
        <w:pageBreakBefore w:val="0"/>
        <w:kinsoku/>
        <w:wordWrap/>
        <w:overflowPunct/>
        <w:topLinePunct w:val="0"/>
        <w:autoSpaceDN/>
        <w:bidi w:val="0"/>
        <w:adjustRightInd/>
        <w:snapToGrid/>
        <w:spacing w:line="560" w:lineRule="exact"/>
        <w:ind w:left="1024"/>
        <w:textAlignment w:val="auto"/>
        <w:rPr>
          <w:rFonts w:hint="eastAsia" w:ascii="方正仿宋_GBK" w:hAnsi="方正仿宋_GBK" w:eastAsia="方正仿宋_GBK" w:cs="方正仿宋_GBK"/>
          <w:spacing w:val="6"/>
          <w:sz w:val="32"/>
          <w:szCs w:val="32"/>
        </w:rPr>
      </w:pPr>
    </w:p>
    <w:p>
      <w:pPr>
        <w:keepNext w:val="0"/>
        <w:keepLines w:val="0"/>
        <w:pageBreakBefore w:val="0"/>
        <w:kinsoku/>
        <w:wordWrap/>
        <w:overflowPunct/>
        <w:topLinePunct w:val="0"/>
        <w:autoSpaceDN/>
        <w:bidi w:val="0"/>
        <w:adjustRightInd/>
        <w:snapToGrid/>
        <w:spacing w:line="560" w:lineRule="exact"/>
        <w:ind w:left="1024"/>
        <w:textAlignment w:val="auto"/>
        <w:rPr>
          <w:rFonts w:ascii="仿宋_GB2312" w:hAnsi="黑体" w:eastAsia="仿宋_GB2312"/>
          <w:spacing w:val="6"/>
          <w:sz w:val="28"/>
          <w:szCs w:val="28"/>
        </w:rPr>
      </w:pPr>
    </w:p>
    <w:p>
      <w:pPr>
        <w:keepNext w:val="0"/>
        <w:keepLines w:val="0"/>
        <w:pageBreakBefore w:val="0"/>
        <w:kinsoku/>
        <w:wordWrap/>
        <w:overflowPunct/>
        <w:topLinePunct w:val="0"/>
        <w:autoSpaceDN/>
        <w:bidi w:val="0"/>
        <w:adjustRightInd/>
        <w:snapToGrid/>
        <w:spacing w:line="560" w:lineRule="exact"/>
        <w:ind w:left="1024"/>
        <w:textAlignment w:val="auto"/>
        <w:rPr>
          <w:rFonts w:ascii="仿宋_GB2312" w:hAnsi="黑体" w:eastAsia="仿宋_GB2312"/>
          <w:spacing w:val="6"/>
          <w:sz w:val="28"/>
          <w:szCs w:val="28"/>
        </w:rPr>
      </w:pPr>
    </w:p>
    <w:p>
      <w:pPr>
        <w:keepNext w:val="0"/>
        <w:keepLines w:val="0"/>
        <w:pageBreakBefore w:val="0"/>
        <w:kinsoku/>
        <w:wordWrap/>
        <w:overflowPunct/>
        <w:topLinePunct w:val="0"/>
        <w:autoSpaceDN/>
        <w:bidi w:val="0"/>
        <w:adjustRightInd/>
        <w:snapToGrid/>
        <w:spacing w:line="560" w:lineRule="exact"/>
        <w:ind w:left="1024"/>
        <w:textAlignment w:val="auto"/>
        <w:rPr>
          <w:rFonts w:ascii="仿宋_GB2312" w:hAnsi="黑体" w:eastAsia="仿宋_GB2312"/>
          <w:spacing w:val="6"/>
          <w:sz w:val="28"/>
          <w:szCs w:val="28"/>
        </w:rPr>
      </w:pPr>
    </w:p>
    <w:p>
      <w:pPr>
        <w:keepNext w:val="0"/>
        <w:keepLines w:val="0"/>
        <w:pageBreakBefore w:val="0"/>
        <w:kinsoku/>
        <w:wordWrap/>
        <w:overflowPunct/>
        <w:topLinePunct w:val="0"/>
        <w:autoSpaceDN/>
        <w:bidi w:val="0"/>
        <w:adjustRightInd/>
        <w:snapToGrid/>
        <w:spacing w:line="560" w:lineRule="exact"/>
        <w:ind w:left="1024"/>
        <w:textAlignment w:val="auto"/>
        <w:rPr>
          <w:rFonts w:ascii="仿宋_GB2312" w:hAnsi="黑体" w:eastAsia="仿宋_GB2312"/>
          <w:spacing w:val="6"/>
          <w:sz w:val="28"/>
          <w:szCs w:val="28"/>
        </w:rPr>
      </w:pPr>
    </w:p>
    <w:p>
      <w:pPr>
        <w:keepNext w:val="0"/>
        <w:keepLines w:val="0"/>
        <w:pageBreakBefore w:val="0"/>
        <w:kinsoku/>
        <w:wordWrap/>
        <w:overflowPunct/>
        <w:topLinePunct w:val="0"/>
        <w:autoSpaceDN/>
        <w:bidi w:val="0"/>
        <w:adjustRightInd/>
        <w:snapToGrid/>
        <w:spacing w:line="560" w:lineRule="exact"/>
        <w:ind w:left="1024"/>
        <w:textAlignment w:val="auto"/>
        <w:rPr>
          <w:rFonts w:ascii="仿宋_GB2312" w:hAnsi="黑体" w:eastAsia="仿宋_GB2312"/>
          <w:spacing w:val="6"/>
          <w:sz w:val="28"/>
          <w:szCs w:val="28"/>
        </w:rPr>
      </w:pPr>
    </w:p>
    <w:p>
      <w:pPr>
        <w:keepNext w:val="0"/>
        <w:keepLines w:val="0"/>
        <w:pageBreakBefore w:val="0"/>
        <w:kinsoku/>
        <w:wordWrap/>
        <w:overflowPunct/>
        <w:topLinePunct w:val="0"/>
        <w:autoSpaceDN/>
        <w:bidi w:val="0"/>
        <w:adjustRightInd/>
        <w:snapToGrid/>
        <w:spacing w:line="560" w:lineRule="exact"/>
        <w:ind w:left="1024"/>
        <w:textAlignment w:val="auto"/>
        <w:rPr>
          <w:rFonts w:ascii="仿宋_GB2312" w:hAnsi="黑体" w:eastAsia="仿宋_GB2312"/>
          <w:spacing w:val="6"/>
          <w:sz w:val="28"/>
          <w:szCs w:val="28"/>
        </w:rPr>
      </w:pPr>
    </w:p>
    <w:p>
      <w:pPr>
        <w:keepNext w:val="0"/>
        <w:keepLines w:val="0"/>
        <w:pageBreakBefore w:val="0"/>
        <w:kinsoku/>
        <w:wordWrap/>
        <w:overflowPunct/>
        <w:topLinePunct w:val="0"/>
        <w:autoSpaceDN/>
        <w:bidi w:val="0"/>
        <w:adjustRightInd/>
        <w:snapToGrid/>
        <w:spacing w:line="560" w:lineRule="exact"/>
        <w:textAlignment w:val="auto"/>
        <w:rPr>
          <w:rFonts w:ascii="仿宋_GB2312" w:hAnsi="黑体" w:eastAsia="仿宋_GB2312"/>
          <w:spacing w:val="6"/>
          <w:sz w:val="28"/>
          <w:szCs w:val="28"/>
        </w:rPr>
      </w:pPr>
    </w:p>
    <w:p>
      <w:pPr>
        <w:keepNext w:val="0"/>
        <w:keepLines w:val="0"/>
        <w:pageBreakBefore w:val="0"/>
        <w:kinsoku/>
        <w:wordWrap/>
        <w:overflowPunct/>
        <w:topLinePunct w:val="0"/>
        <w:autoSpaceDN/>
        <w:bidi w:val="0"/>
        <w:adjustRightInd/>
        <w:snapToGrid/>
        <w:spacing w:line="560" w:lineRule="exact"/>
        <w:textAlignment w:val="auto"/>
        <w:rPr>
          <w:rFonts w:ascii="仿宋_GB2312" w:hAnsi="黑体" w:eastAsia="仿宋_GB2312"/>
          <w:spacing w:val="6"/>
          <w:sz w:val="28"/>
          <w:szCs w:val="28"/>
        </w:rPr>
      </w:pPr>
    </w:p>
    <w:p>
      <w:pPr>
        <w:keepNext w:val="0"/>
        <w:keepLines w:val="0"/>
        <w:pageBreakBefore w:val="0"/>
        <w:kinsoku/>
        <w:wordWrap/>
        <w:overflowPunct/>
        <w:topLinePunct w:val="0"/>
        <w:autoSpaceDN/>
        <w:bidi w:val="0"/>
        <w:adjustRightInd/>
        <w:snapToGrid/>
        <w:spacing w:line="560" w:lineRule="exact"/>
        <w:textAlignment w:val="auto"/>
        <w:rPr>
          <w:rFonts w:ascii="仿宋_GB2312" w:hAnsi="黑体" w:eastAsia="仿宋_GB2312"/>
          <w:spacing w:val="6"/>
          <w:sz w:val="28"/>
          <w:szCs w:val="28"/>
        </w:rPr>
      </w:pPr>
    </w:p>
    <w:p>
      <w:pPr>
        <w:keepNext w:val="0"/>
        <w:keepLines w:val="0"/>
        <w:pageBreakBefore w:val="0"/>
        <w:kinsoku/>
        <w:wordWrap/>
        <w:overflowPunct/>
        <w:topLinePunct w:val="0"/>
        <w:autoSpaceDN/>
        <w:bidi w:val="0"/>
        <w:adjustRightInd/>
        <w:snapToGrid/>
        <w:spacing w:line="560" w:lineRule="exact"/>
        <w:textAlignment w:val="auto"/>
        <w:rPr>
          <w:rFonts w:ascii="仿宋_GB2312" w:hAnsi="黑体" w:eastAsia="仿宋_GB2312"/>
          <w:spacing w:val="6"/>
          <w:sz w:val="28"/>
          <w:szCs w:val="28"/>
        </w:rPr>
      </w:pPr>
    </w:p>
    <w:p>
      <w:pPr>
        <w:keepNext w:val="0"/>
        <w:keepLines w:val="0"/>
        <w:pageBreakBefore w:val="0"/>
        <w:kinsoku/>
        <w:wordWrap/>
        <w:overflowPunct/>
        <w:topLinePunct w:val="0"/>
        <w:autoSpaceDN/>
        <w:bidi w:val="0"/>
        <w:adjustRightInd/>
        <w:snapToGrid/>
        <w:spacing w:line="560" w:lineRule="exact"/>
        <w:textAlignment w:val="auto"/>
        <w:rPr>
          <w:rFonts w:ascii="仿宋_GB2312" w:hAnsi="黑体" w:eastAsia="仿宋_GB2312"/>
          <w:spacing w:val="6"/>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eastAsia="仿宋_GB2312"/>
          <w:spacing w:val="6"/>
          <w:sz w:val="32"/>
          <w:szCs w:val="32"/>
          <w:lang w:eastAsia="zh-CN"/>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eastAsia="仿宋_GB2312"/>
          <w:spacing w:val="6"/>
          <w:sz w:val="32"/>
          <w:szCs w:val="32"/>
          <w:lang w:eastAsia="zh-CN"/>
        </w:rPr>
      </w:pPr>
      <w:r>
        <w:rPr>
          <w:rFonts w:hint="eastAsia" w:ascii="仿宋_GB2312" w:eastAsia="仿宋_GB2312"/>
          <w:spacing w:val="6"/>
          <w:sz w:val="32"/>
          <w:szCs w:val="32"/>
          <w:lang w:eastAsia="zh-CN"/>
        </w:rPr>
        <w:t>海南省</w:t>
      </w:r>
      <w:r>
        <w:rPr>
          <w:rFonts w:hint="eastAsia" w:ascii="仿宋_GB2312" w:eastAsia="仿宋_GB2312"/>
          <w:spacing w:val="6"/>
          <w:sz w:val="32"/>
          <w:szCs w:val="32"/>
        </w:rPr>
        <w:t>三亚市</w:t>
      </w:r>
      <w:r>
        <w:rPr>
          <w:rFonts w:hint="eastAsia" w:ascii="仿宋_GB2312" w:eastAsia="仿宋_GB2312"/>
          <w:spacing w:val="6"/>
          <w:sz w:val="32"/>
          <w:szCs w:val="32"/>
          <w:lang w:eastAsia="zh-CN"/>
        </w:rPr>
        <w:t>中级人民法院202</w:t>
      </w:r>
      <w:r>
        <w:rPr>
          <w:rFonts w:hint="eastAsia" w:ascii="仿宋_GB2312" w:eastAsia="仿宋_GB2312"/>
          <w:spacing w:val="6"/>
          <w:sz w:val="32"/>
          <w:szCs w:val="32"/>
          <w:lang w:val="en-US" w:eastAsia="zh-CN"/>
        </w:rPr>
        <w:t>4</w:t>
      </w:r>
      <w:r>
        <w:rPr>
          <w:rFonts w:hint="eastAsia" w:ascii="仿宋_GB2312" w:eastAsia="仿宋_GB2312"/>
          <w:spacing w:val="6"/>
          <w:sz w:val="32"/>
          <w:szCs w:val="32"/>
          <w:lang w:eastAsia="zh-CN"/>
        </w:rPr>
        <w:t>年度</w:t>
      </w:r>
    </w:p>
    <w:p>
      <w:pPr>
        <w:keepNext w:val="0"/>
        <w:keepLines w:val="0"/>
        <w:pageBreakBefore w:val="0"/>
        <w:widowControl w:val="0"/>
        <w:kinsoku/>
        <w:wordWrap/>
        <w:overflowPunct/>
        <w:topLinePunct w:val="0"/>
        <w:autoSpaceDE/>
        <w:autoSpaceDN/>
        <w:bidi w:val="0"/>
        <w:adjustRightInd/>
        <w:snapToGrid/>
        <w:spacing w:after="156" w:afterLines="50" w:line="500" w:lineRule="exact"/>
        <w:jc w:val="center"/>
        <w:textAlignment w:val="auto"/>
        <w:rPr>
          <w:rFonts w:ascii="仿宋_GB2312" w:eastAsia="仿宋_GB2312"/>
          <w:spacing w:val="6"/>
          <w:sz w:val="32"/>
          <w:szCs w:val="32"/>
        </w:rPr>
      </w:pPr>
      <w:r>
        <w:rPr>
          <w:rFonts w:hint="eastAsia" w:ascii="仿宋_GB2312" w:eastAsia="仿宋_GB2312"/>
          <w:spacing w:val="6"/>
          <w:sz w:val="32"/>
          <w:szCs w:val="32"/>
        </w:rPr>
        <w:t xml:space="preserve"> </w:t>
      </w:r>
      <w:r>
        <w:rPr>
          <w:rFonts w:ascii="仿宋_GB2312" w:eastAsia="仿宋_GB2312"/>
          <w:spacing w:val="6"/>
          <w:sz w:val="32"/>
          <w:szCs w:val="32"/>
        </w:rPr>
        <w:t xml:space="preserve"> </w:t>
      </w:r>
      <w:r>
        <w:rPr>
          <w:rFonts w:hint="eastAsia" w:ascii="仿宋_GB2312" w:eastAsia="仿宋_GB2312"/>
          <w:spacing w:val="6"/>
          <w:sz w:val="32"/>
          <w:szCs w:val="32"/>
        </w:rPr>
        <w:t>三亚市</w:t>
      </w:r>
      <w:r>
        <w:rPr>
          <w:rFonts w:hint="eastAsia" w:ascii="仿宋_GB2312" w:eastAsia="仿宋_GB2312"/>
          <w:spacing w:val="6"/>
          <w:sz w:val="32"/>
          <w:szCs w:val="32"/>
          <w:lang w:eastAsia="zh-CN"/>
        </w:rPr>
        <w:t>诉调对接服务中心</w:t>
      </w:r>
      <w:r>
        <w:rPr>
          <w:rFonts w:hint="eastAsia" w:ascii="仿宋_GB2312" w:eastAsia="仿宋_GB2312"/>
          <w:spacing w:val="6"/>
          <w:sz w:val="32"/>
          <w:szCs w:val="32"/>
        </w:rPr>
        <w:t>项目绩效评价结论表</w:t>
      </w:r>
    </w:p>
    <w:tbl>
      <w:tblPr>
        <w:tblStyle w:val="9"/>
        <w:tblW w:w="8854" w:type="dxa"/>
        <w:tblInd w:w="113" w:type="dxa"/>
        <w:tblLayout w:type="fixed"/>
        <w:tblCellMar>
          <w:top w:w="0" w:type="dxa"/>
          <w:left w:w="108" w:type="dxa"/>
          <w:bottom w:w="0" w:type="dxa"/>
          <w:right w:w="108" w:type="dxa"/>
        </w:tblCellMar>
      </w:tblPr>
      <w:tblGrid>
        <w:gridCol w:w="1129"/>
        <w:gridCol w:w="1730"/>
        <w:gridCol w:w="2806"/>
        <w:gridCol w:w="879"/>
        <w:gridCol w:w="1065"/>
        <w:gridCol w:w="1185"/>
        <w:gridCol w:w="60"/>
      </w:tblGrid>
      <w:tr>
        <w:tblPrEx>
          <w:tblCellMar>
            <w:top w:w="0" w:type="dxa"/>
            <w:left w:w="108" w:type="dxa"/>
            <w:bottom w:w="0" w:type="dxa"/>
            <w:right w:w="108" w:type="dxa"/>
          </w:tblCellMar>
        </w:tblPrEx>
        <w:trPr>
          <w:gridAfter w:val="1"/>
          <w:wAfter w:w="60" w:type="dxa"/>
          <w:trHeight w:val="425" w:hRule="exact"/>
          <w:tblHeader/>
        </w:trPr>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一级指标</w:t>
            </w:r>
          </w:p>
        </w:tc>
        <w:tc>
          <w:tcPr>
            <w:tcW w:w="17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二级指标</w:t>
            </w:r>
          </w:p>
        </w:tc>
        <w:tc>
          <w:tcPr>
            <w:tcW w:w="28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三级指标</w:t>
            </w:r>
          </w:p>
        </w:tc>
        <w:tc>
          <w:tcPr>
            <w:tcW w:w="8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分值</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实际得分</w:t>
            </w:r>
          </w:p>
        </w:tc>
        <w:tc>
          <w:tcPr>
            <w:tcW w:w="11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绩效等级</w:t>
            </w:r>
          </w:p>
        </w:tc>
      </w:tr>
      <w:tr>
        <w:tblPrEx>
          <w:tblCellMar>
            <w:top w:w="0" w:type="dxa"/>
            <w:left w:w="108" w:type="dxa"/>
            <w:bottom w:w="0" w:type="dxa"/>
            <w:right w:w="108" w:type="dxa"/>
          </w:tblCellMar>
        </w:tblPrEx>
        <w:trPr>
          <w:trHeight w:val="425" w:hRule="exact"/>
        </w:trPr>
        <w:tc>
          <w:tcPr>
            <w:tcW w:w="112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项目决策（16）</w:t>
            </w:r>
          </w:p>
        </w:tc>
        <w:tc>
          <w:tcPr>
            <w:tcW w:w="17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项目立项（4）</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立项依据充分性</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2</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2</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立项程序规范性</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2</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2</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绩效目标（4）</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绩效目标合理性</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2</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2</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绩效指标明确性</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2</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2</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资金安排（8）</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资金分配合理性</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8</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8</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Cs w:val="21"/>
              </w:rPr>
            </w:pPr>
            <w:r>
              <w:rPr>
                <w:rFonts w:hint="eastAsia" w:ascii="仿宋_GB2312" w:hAnsi="宋体" w:eastAsia="仿宋_GB2312" w:cs="宋体"/>
                <w:b/>
                <w:kern w:val="0"/>
                <w:szCs w:val="21"/>
              </w:rPr>
              <w:t>小计</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Cs w:val="21"/>
              </w:rPr>
            </w:pPr>
            <w:r>
              <w:rPr>
                <w:rFonts w:hint="eastAsia" w:ascii="仿宋_GB2312" w:hAnsi="宋体" w:eastAsia="仿宋_GB2312" w:cs="宋体"/>
                <w:b/>
                <w:kern w:val="0"/>
                <w:szCs w:val="21"/>
              </w:rPr>
              <w:t>　</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b/>
                <w:kern w:val="0"/>
                <w:szCs w:val="21"/>
              </w:rPr>
            </w:pPr>
            <w:r>
              <w:rPr>
                <w:rFonts w:hint="eastAsia" w:ascii="仿宋_GB2312" w:hAnsi="Times New Roman" w:eastAsia="仿宋_GB2312"/>
                <w:b/>
                <w:kern w:val="0"/>
                <w:szCs w:val="21"/>
              </w:rPr>
              <w:t>16</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b/>
                <w:kern w:val="0"/>
                <w:szCs w:val="21"/>
              </w:rPr>
            </w:pPr>
            <w:r>
              <w:rPr>
                <w:rFonts w:hint="eastAsia" w:ascii="仿宋_GB2312" w:hAnsi="Times New Roman" w:eastAsia="仿宋_GB2312"/>
                <w:b/>
                <w:kern w:val="0"/>
                <w:szCs w:val="21"/>
              </w:rPr>
              <w:t>16</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b/>
                <w:kern w:val="0"/>
                <w:szCs w:val="21"/>
              </w:rPr>
            </w:pPr>
            <w:r>
              <w:rPr>
                <w:rFonts w:hint="eastAsia" w:ascii="仿宋_GB2312" w:hAnsi="Times New Roman" w:eastAsia="仿宋_GB2312"/>
                <w:b/>
                <w:kern w:val="0"/>
                <w:szCs w:val="21"/>
              </w:rPr>
              <w:t>优</w:t>
            </w:r>
          </w:p>
        </w:tc>
      </w:tr>
      <w:tr>
        <w:tblPrEx>
          <w:tblCellMar>
            <w:top w:w="0" w:type="dxa"/>
            <w:left w:w="108" w:type="dxa"/>
            <w:bottom w:w="0" w:type="dxa"/>
            <w:right w:w="108" w:type="dxa"/>
          </w:tblCellMar>
        </w:tblPrEx>
        <w:trPr>
          <w:trHeight w:val="425" w:hRule="exact"/>
        </w:trPr>
        <w:tc>
          <w:tcPr>
            <w:tcW w:w="112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项目管理（</w:t>
            </w:r>
            <w:r>
              <w:rPr>
                <w:rFonts w:hint="eastAsia" w:ascii="仿宋_GB2312" w:hAnsi="Times New Roman" w:eastAsia="仿宋_GB2312"/>
                <w:kern w:val="0"/>
                <w:szCs w:val="21"/>
              </w:rPr>
              <w:t>24</w:t>
            </w:r>
            <w:r>
              <w:rPr>
                <w:rFonts w:hint="eastAsia" w:ascii="仿宋_GB2312" w:hAnsi="宋体" w:eastAsia="仿宋_GB2312" w:cs="宋体"/>
                <w:kern w:val="0"/>
                <w:szCs w:val="21"/>
              </w:rPr>
              <w:t>）</w:t>
            </w:r>
          </w:p>
        </w:tc>
        <w:tc>
          <w:tcPr>
            <w:tcW w:w="17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资金管理（14）</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资金到位情况</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4</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4</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预算执行率</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6</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仿宋_GB2312"/>
                <w:kern w:val="0"/>
                <w:szCs w:val="21"/>
                <w:lang w:eastAsia="zh-CN"/>
              </w:rPr>
            </w:pPr>
            <w:r>
              <w:rPr>
                <w:rFonts w:hint="eastAsia" w:ascii="仿宋_GB2312" w:hAnsi="Times New Roman" w:eastAsia="仿宋_GB2312"/>
                <w:kern w:val="0"/>
                <w:szCs w:val="21"/>
                <w:lang w:val="en-US" w:eastAsia="zh-CN"/>
              </w:rPr>
              <w:t>6</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资金使用合规性</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4</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4</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业务管理（</w:t>
            </w:r>
            <w:r>
              <w:rPr>
                <w:rFonts w:hint="eastAsia" w:ascii="仿宋_GB2312" w:hAnsi="Times New Roman" w:eastAsia="仿宋_GB2312"/>
                <w:kern w:val="0"/>
                <w:szCs w:val="21"/>
              </w:rPr>
              <w:t>10</w:t>
            </w:r>
            <w:r>
              <w:rPr>
                <w:rFonts w:hint="eastAsia" w:ascii="仿宋_GB2312" w:hAnsi="宋体" w:eastAsia="仿宋_GB2312" w:cs="宋体"/>
                <w:kern w:val="0"/>
                <w:szCs w:val="21"/>
              </w:rPr>
              <w:t>）</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管理制度健全性</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5</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5</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制度执行有效性</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5</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5</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Cs w:val="21"/>
              </w:rPr>
            </w:pPr>
            <w:r>
              <w:rPr>
                <w:rFonts w:hint="eastAsia" w:ascii="仿宋_GB2312" w:hAnsi="宋体" w:eastAsia="仿宋_GB2312" w:cs="宋体"/>
                <w:b/>
                <w:kern w:val="0"/>
                <w:szCs w:val="21"/>
              </w:rPr>
              <w:t>小计</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Cs w:val="21"/>
              </w:rPr>
            </w:pPr>
            <w:r>
              <w:rPr>
                <w:rFonts w:hint="eastAsia" w:ascii="仿宋_GB2312" w:hAnsi="宋体" w:eastAsia="仿宋_GB2312" w:cs="宋体"/>
                <w:b/>
                <w:kern w:val="0"/>
                <w:szCs w:val="21"/>
              </w:rPr>
              <w:t>　</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b/>
                <w:kern w:val="0"/>
                <w:szCs w:val="21"/>
              </w:rPr>
            </w:pPr>
            <w:r>
              <w:rPr>
                <w:rFonts w:hint="eastAsia" w:ascii="仿宋_GB2312" w:hAnsi="Times New Roman" w:eastAsia="仿宋_GB2312"/>
                <w:b/>
                <w:kern w:val="0"/>
                <w:szCs w:val="21"/>
              </w:rPr>
              <w:t>24</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Times New Roman" w:eastAsia="仿宋_GB2312"/>
                <w:b/>
                <w:kern w:val="0"/>
                <w:szCs w:val="21"/>
                <w:lang w:val="en-US" w:eastAsia="zh-CN"/>
              </w:rPr>
            </w:pPr>
            <w:r>
              <w:rPr>
                <w:rFonts w:hint="eastAsia" w:ascii="仿宋_GB2312" w:hAnsi="Times New Roman" w:eastAsia="仿宋_GB2312"/>
                <w:b/>
                <w:kern w:val="0"/>
                <w:szCs w:val="21"/>
                <w:lang w:val="en-US" w:eastAsia="zh-CN"/>
              </w:rPr>
              <w:t>24</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b/>
                <w:kern w:val="0"/>
                <w:szCs w:val="21"/>
              </w:rPr>
            </w:pPr>
            <w:r>
              <w:rPr>
                <w:rFonts w:hint="eastAsia" w:ascii="仿宋_GB2312" w:hAnsi="Times New Roman" w:eastAsia="仿宋_GB2312"/>
                <w:b/>
                <w:kern w:val="0"/>
                <w:szCs w:val="21"/>
              </w:rPr>
              <w:t>优</w:t>
            </w:r>
          </w:p>
        </w:tc>
      </w:tr>
      <w:tr>
        <w:tblPrEx>
          <w:tblCellMar>
            <w:top w:w="0" w:type="dxa"/>
            <w:left w:w="108" w:type="dxa"/>
            <w:bottom w:w="0" w:type="dxa"/>
            <w:right w:w="108" w:type="dxa"/>
          </w:tblCellMar>
        </w:tblPrEx>
        <w:trPr>
          <w:trHeight w:val="425" w:hRule="exact"/>
        </w:trPr>
        <w:tc>
          <w:tcPr>
            <w:tcW w:w="112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项目产出（30）</w:t>
            </w: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数量（8）</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实际完成率</w:t>
            </w:r>
          </w:p>
        </w:tc>
        <w:tc>
          <w:tcPr>
            <w:tcW w:w="879"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8</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质量（8）</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质量达标率</w:t>
            </w:r>
          </w:p>
        </w:tc>
        <w:tc>
          <w:tcPr>
            <w:tcW w:w="879"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8</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时效（8）</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完成及时率</w:t>
            </w:r>
          </w:p>
        </w:tc>
        <w:tc>
          <w:tcPr>
            <w:tcW w:w="879"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仿宋_GB2312"/>
                <w:kern w:val="0"/>
                <w:szCs w:val="21"/>
                <w:lang w:eastAsia="zh-CN"/>
              </w:rPr>
            </w:pPr>
            <w:r>
              <w:rPr>
                <w:rFonts w:hint="eastAsia" w:ascii="仿宋_GB2312" w:hAnsi="Times New Roman" w:eastAsia="仿宋_GB2312"/>
                <w:kern w:val="0"/>
                <w:szCs w:val="21"/>
                <w:lang w:val="en-US" w:eastAsia="zh-CN"/>
              </w:rPr>
              <w:t>6</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成本（6）</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成本节约率</w:t>
            </w:r>
          </w:p>
        </w:tc>
        <w:tc>
          <w:tcPr>
            <w:tcW w:w="879"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6</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Cs w:val="21"/>
              </w:rPr>
            </w:pPr>
            <w:r>
              <w:rPr>
                <w:rFonts w:hint="eastAsia" w:ascii="仿宋_GB2312" w:hAnsi="宋体" w:eastAsia="仿宋_GB2312" w:cs="宋体"/>
                <w:b/>
                <w:kern w:val="0"/>
                <w:szCs w:val="21"/>
              </w:rPr>
              <w:t>小计</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Cs w:val="21"/>
              </w:rPr>
            </w:pPr>
            <w:r>
              <w:rPr>
                <w:rFonts w:hint="eastAsia" w:ascii="仿宋_GB2312" w:hAnsi="宋体" w:eastAsia="仿宋_GB2312" w:cs="宋体"/>
                <w:b/>
                <w:kern w:val="0"/>
                <w:szCs w:val="21"/>
              </w:rPr>
              <w:t>　</w:t>
            </w:r>
          </w:p>
        </w:tc>
        <w:tc>
          <w:tcPr>
            <w:tcW w:w="879"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30</w:t>
            </w:r>
          </w:p>
        </w:tc>
        <w:tc>
          <w:tcPr>
            <w:tcW w:w="1065" w:type="dxa"/>
            <w:tcBorders>
              <w:top w:val="nil"/>
              <w:left w:val="nil"/>
              <w:bottom w:val="single" w:color="auto" w:sz="4" w:space="0"/>
              <w:right w:val="single" w:color="auto" w:sz="4" w:space="0"/>
            </w:tcBorders>
            <w:shd w:val="clear" w:color="000000" w:fill="FFFFFF"/>
            <w:vAlign w:val="center"/>
          </w:tcPr>
          <w:p>
            <w:pPr>
              <w:widowControl/>
              <w:jc w:val="center"/>
              <w:rPr>
                <w:rFonts w:hint="default" w:ascii="仿宋_GB2312" w:hAnsi="Times New Roman" w:eastAsia="仿宋_GB2312"/>
                <w:b/>
                <w:kern w:val="0"/>
                <w:szCs w:val="21"/>
                <w:lang w:val="en-US" w:eastAsia="zh-CN"/>
              </w:rPr>
            </w:pPr>
            <w:r>
              <w:rPr>
                <w:rFonts w:hint="eastAsia" w:ascii="仿宋_GB2312" w:hAnsi="Times New Roman" w:eastAsia="仿宋_GB2312"/>
                <w:b/>
                <w:kern w:val="0"/>
                <w:szCs w:val="21"/>
                <w:lang w:val="en-US" w:eastAsia="zh-CN"/>
              </w:rPr>
              <w:t>28</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Times New Roman" w:eastAsia="仿宋_GB2312"/>
                <w:b/>
                <w:kern w:val="0"/>
                <w:szCs w:val="21"/>
                <w:lang w:eastAsia="zh-CN"/>
              </w:rPr>
            </w:pPr>
            <w:r>
              <w:rPr>
                <w:rFonts w:hint="eastAsia" w:ascii="仿宋_GB2312" w:hAnsi="Times New Roman" w:eastAsia="仿宋_GB2312"/>
                <w:b/>
                <w:kern w:val="0"/>
                <w:szCs w:val="21"/>
                <w:lang w:eastAsia="zh-CN"/>
              </w:rPr>
              <w:t>优</w:t>
            </w:r>
          </w:p>
        </w:tc>
      </w:tr>
      <w:tr>
        <w:tblPrEx>
          <w:tblCellMar>
            <w:top w:w="0" w:type="dxa"/>
            <w:left w:w="108" w:type="dxa"/>
            <w:bottom w:w="0" w:type="dxa"/>
            <w:right w:w="108" w:type="dxa"/>
          </w:tblCellMar>
        </w:tblPrEx>
        <w:trPr>
          <w:trHeight w:val="425" w:hRule="exact"/>
        </w:trPr>
        <w:tc>
          <w:tcPr>
            <w:tcW w:w="112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项目成效（30）</w:t>
            </w: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经济效益（6）</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经济影响</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6</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社会效益（6）</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社会影响</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6</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环境效益（6）</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环境影响</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6</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vMerge w:val="restart"/>
            <w:tcBorders>
              <w:top w:val="nil"/>
              <w:left w:val="nil"/>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可持续性（6）</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后续质量达标情况</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3</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3</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vMerge w:val="continue"/>
            <w:tcBorders>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后续制度和资金保障情况</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仿宋_GB2312"/>
                <w:kern w:val="0"/>
                <w:szCs w:val="21"/>
                <w:lang w:eastAsia="zh-CN"/>
              </w:rPr>
            </w:pPr>
            <w:r>
              <w:rPr>
                <w:rFonts w:hint="eastAsia" w:ascii="仿宋_GB2312" w:hAnsi="Times New Roman" w:eastAsia="仿宋_GB2312"/>
                <w:kern w:val="0"/>
                <w:szCs w:val="21"/>
                <w:lang w:val="en-US" w:eastAsia="zh-CN"/>
              </w:rPr>
              <w:t>3</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满意度（6）</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社会公众或服务对象满意度</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6</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kern w:val="0"/>
                <w:szCs w:val="21"/>
              </w:rPr>
            </w:pPr>
            <w:r>
              <w:rPr>
                <w:rFonts w:hint="eastAsia" w:ascii="仿宋_GB2312" w:hAnsi="Times New Roman" w:eastAsia="仿宋_GB2312"/>
                <w:kern w:val="0"/>
                <w:szCs w:val="21"/>
              </w:rPr>
              <w:t>　</w:t>
            </w:r>
          </w:p>
        </w:tc>
      </w:tr>
      <w:tr>
        <w:tblPrEx>
          <w:tblCellMar>
            <w:top w:w="0" w:type="dxa"/>
            <w:left w:w="108" w:type="dxa"/>
            <w:bottom w:w="0" w:type="dxa"/>
            <w:right w:w="108" w:type="dxa"/>
          </w:tblCellMar>
        </w:tblPrEx>
        <w:trPr>
          <w:trHeight w:val="425" w:hRule="exact"/>
        </w:trPr>
        <w:tc>
          <w:tcPr>
            <w:tcW w:w="112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Cs w:val="21"/>
              </w:rPr>
            </w:pPr>
          </w:p>
        </w:tc>
        <w:tc>
          <w:tcPr>
            <w:tcW w:w="17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Cs w:val="21"/>
              </w:rPr>
            </w:pPr>
            <w:r>
              <w:rPr>
                <w:rFonts w:hint="eastAsia" w:ascii="仿宋_GB2312" w:hAnsi="宋体" w:eastAsia="仿宋_GB2312" w:cs="宋体"/>
                <w:b/>
                <w:kern w:val="0"/>
                <w:szCs w:val="21"/>
              </w:rPr>
              <w:t>小计</w:t>
            </w:r>
          </w:p>
        </w:tc>
        <w:tc>
          <w:tcPr>
            <w:tcW w:w="280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Cs w:val="21"/>
              </w:rPr>
            </w:pPr>
            <w:r>
              <w:rPr>
                <w:rFonts w:hint="eastAsia" w:ascii="仿宋_GB2312" w:hAnsi="宋体" w:eastAsia="仿宋_GB2312" w:cs="宋体"/>
                <w:b/>
                <w:kern w:val="0"/>
                <w:szCs w:val="21"/>
              </w:rPr>
              <w:t>　</w:t>
            </w:r>
          </w:p>
        </w:tc>
        <w:tc>
          <w:tcPr>
            <w:tcW w:w="8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Cs w:val="21"/>
              </w:rPr>
            </w:pPr>
            <w:r>
              <w:rPr>
                <w:rFonts w:hint="eastAsia" w:ascii="仿宋_GB2312" w:hAnsi="宋体" w:eastAsia="仿宋_GB2312" w:cs="宋体"/>
                <w:b/>
                <w:kern w:val="0"/>
                <w:szCs w:val="21"/>
              </w:rPr>
              <w:t>30</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Times New Roman" w:eastAsia="仿宋_GB2312"/>
                <w:b/>
                <w:kern w:val="0"/>
                <w:szCs w:val="21"/>
                <w:lang w:val="en-US" w:eastAsia="zh-CN"/>
              </w:rPr>
            </w:pPr>
            <w:r>
              <w:rPr>
                <w:rFonts w:hint="eastAsia" w:ascii="仿宋_GB2312" w:hAnsi="Times New Roman" w:eastAsia="仿宋_GB2312"/>
                <w:b/>
                <w:kern w:val="0"/>
                <w:szCs w:val="21"/>
                <w:lang w:val="en-US" w:eastAsia="zh-CN"/>
              </w:rPr>
              <w:t>30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b/>
                <w:kern w:val="0"/>
                <w:szCs w:val="21"/>
              </w:rPr>
            </w:pPr>
            <w:r>
              <w:rPr>
                <w:rFonts w:hint="eastAsia" w:ascii="仿宋_GB2312" w:hAnsi="Times New Roman" w:eastAsia="仿宋_GB2312"/>
                <w:b/>
                <w:kern w:val="0"/>
                <w:szCs w:val="21"/>
              </w:rPr>
              <w:t>优</w:t>
            </w:r>
          </w:p>
        </w:tc>
      </w:tr>
      <w:tr>
        <w:tblPrEx>
          <w:tblCellMar>
            <w:top w:w="0" w:type="dxa"/>
            <w:left w:w="108" w:type="dxa"/>
            <w:bottom w:w="0" w:type="dxa"/>
            <w:right w:w="108" w:type="dxa"/>
          </w:tblCellMar>
        </w:tblPrEx>
        <w:trPr>
          <w:trHeight w:val="425" w:hRule="exact"/>
        </w:trPr>
        <w:tc>
          <w:tcPr>
            <w:tcW w:w="5665"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合计</w:t>
            </w:r>
          </w:p>
        </w:tc>
        <w:tc>
          <w:tcPr>
            <w:tcW w:w="879"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b/>
                <w:bCs/>
                <w:kern w:val="0"/>
                <w:szCs w:val="21"/>
              </w:rPr>
            </w:pPr>
            <w:r>
              <w:rPr>
                <w:rFonts w:hint="eastAsia" w:ascii="仿宋_GB2312" w:hAnsi="Times New Roman" w:eastAsia="仿宋_GB2312"/>
                <w:b/>
                <w:bCs/>
                <w:kern w:val="0"/>
                <w:szCs w:val="21"/>
              </w:rPr>
              <w:t>100</w:t>
            </w:r>
          </w:p>
        </w:tc>
        <w:tc>
          <w:tcPr>
            <w:tcW w:w="10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仿宋_GB2312" w:hAnsi="Times New Roman" w:eastAsia="仿宋_GB2312"/>
                <w:b/>
                <w:bCs/>
                <w:kern w:val="0"/>
                <w:szCs w:val="21"/>
                <w:lang w:val="en-US" w:eastAsia="zh-CN"/>
              </w:rPr>
            </w:pPr>
            <w:r>
              <w:rPr>
                <w:rFonts w:hint="eastAsia" w:ascii="仿宋_GB2312" w:hAnsi="Times New Roman" w:eastAsia="仿宋_GB2312"/>
                <w:b/>
                <w:bCs/>
                <w:kern w:val="0"/>
                <w:szCs w:val="21"/>
                <w:lang w:val="en-US" w:eastAsia="zh-CN"/>
              </w:rPr>
              <w:t>98</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b/>
                <w:bCs/>
                <w:kern w:val="0"/>
                <w:szCs w:val="21"/>
              </w:rPr>
            </w:pPr>
            <w:r>
              <w:rPr>
                <w:rFonts w:hint="eastAsia" w:ascii="仿宋_GB2312" w:hAnsi="Times New Roman" w:eastAsia="仿宋_GB2312"/>
                <w:b/>
                <w:bCs/>
                <w:kern w:val="0"/>
                <w:szCs w:val="21"/>
              </w:rPr>
              <w:t>优</w:t>
            </w:r>
          </w:p>
        </w:tc>
      </w:tr>
    </w:tbl>
    <w:p>
      <w:pPr>
        <w:keepNext w:val="0"/>
        <w:keepLines w:val="0"/>
        <w:pageBreakBefore w:val="0"/>
        <w:widowControl w:val="0"/>
        <w:kinsoku/>
        <w:wordWrap/>
        <w:overflowPunct/>
        <w:topLinePunct w:val="0"/>
        <w:autoSpaceDE/>
        <w:autoSpaceDN/>
        <w:bidi w:val="0"/>
        <w:adjustRightInd/>
        <w:snapToGrid/>
        <w:spacing w:line="578" w:lineRule="exact"/>
        <w:jc w:val="left"/>
        <w:textAlignment w:val="auto"/>
      </w:pPr>
    </w:p>
    <w:sectPr>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ˎ̥">
    <w:altName w:val="汉仪新人文宋简"/>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separate"/>
    </w:r>
    <w:r>
      <w:rPr>
        <w:rStyle w:val="11"/>
      </w:rPr>
      <w:t>18</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CFF7D490"/>
    <w:multiLevelType w:val="singleLevel"/>
    <w:tmpl w:val="CFF7D490"/>
    <w:lvl w:ilvl="0" w:tentative="0">
      <w:start w:val="10"/>
      <w:numFmt w:val="decimal"/>
      <w:lvlText w:val="%1."/>
      <w:lvlJc w:val="left"/>
      <w:pPr>
        <w:tabs>
          <w:tab w:val="left" w:pos="312"/>
        </w:tabs>
      </w:pPr>
    </w:lvl>
  </w:abstractNum>
  <w:abstractNum w:abstractNumId="2">
    <w:nsid w:val="F7FB27B6"/>
    <w:multiLevelType w:val="singleLevel"/>
    <w:tmpl w:val="F7FB27B6"/>
    <w:lvl w:ilvl="0" w:tentative="0">
      <w:start w:val="1"/>
      <w:numFmt w:val="chineseCounting"/>
      <w:suff w:val="nothing"/>
      <w:lvlText w:val="%1、"/>
      <w:lvlJc w:val="left"/>
      <w:rPr>
        <w:rFonts w:hint="eastAsia"/>
      </w:rPr>
    </w:lvl>
  </w:abstractNum>
  <w:abstractNum w:abstractNumId="3">
    <w:nsid w:val="604EAF9F"/>
    <w:multiLevelType w:val="singleLevel"/>
    <w:tmpl w:val="604EAF9F"/>
    <w:lvl w:ilvl="0" w:tentative="0">
      <w:start w:val="2"/>
      <w:numFmt w:val="chineseCounting"/>
      <w:suff w:val="nothing"/>
      <w:lvlText w:val="（%1）"/>
      <w:lvlJc w:val="left"/>
    </w:lvl>
  </w:abstractNum>
  <w:abstractNum w:abstractNumId="4">
    <w:nsid w:val="72109F8D"/>
    <w:multiLevelType w:val="singleLevel"/>
    <w:tmpl w:val="72109F8D"/>
    <w:lvl w:ilvl="0" w:tentative="0">
      <w:start w:val="7"/>
      <w:numFmt w:val="chineseCounting"/>
      <w:suff w:val="nothing"/>
      <w:lvlText w:val="%1、"/>
      <w:lvlJc w:val="left"/>
      <w:rPr>
        <w:rFonts w:hint="eastAsia"/>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9201287"/>
    <w:rsid w:val="0F6FA81F"/>
    <w:rsid w:val="0FC80124"/>
    <w:rsid w:val="136F98C7"/>
    <w:rsid w:val="17427E68"/>
    <w:rsid w:val="1755065F"/>
    <w:rsid w:val="17A7951F"/>
    <w:rsid w:val="1AFC29C9"/>
    <w:rsid w:val="1CA52F2E"/>
    <w:rsid w:val="1E3630B9"/>
    <w:rsid w:val="1F7FDA86"/>
    <w:rsid w:val="1FFFFEB1"/>
    <w:rsid w:val="23EC26F7"/>
    <w:rsid w:val="26EEC2B5"/>
    <w:rsid w:val="27CB8932"/>
    <w:rsid w:val="29472309"/>
    <w:rsid w:val="2B406E77"/>
    <w:rsid w:val="2BFCCB61"/>
    <w:rsid w:val="2C2A0C43"/>
    <w:rsid w:val="2D1E73A5"/>
    <w:rsid w:val="2FBFBD59"/>
    <w:rsid w:val="32717154"/>
    <w:rsid w:val="32EFC680"/>
    <w:rsid w:val="34B63260"/>
    <w:rsid w:val="37F92A5A"/>
    <w:rsid w:val="37FDA7E2"/>
    <w:rsid w:val="37FFC420"/>
    <w:rsid w:val="39EF6C78"/>
    <w:rsid w:val="3A314D88"/>
    <w:rsid w:val="3A746883"/>
    <w:rsid w:val="3A7F90F1"/>
    <w:rsid w:val="3BABDE49"/>
    <w:rsid w:val="3BFD25A8"/>
    <w:rsid w:val="3CA15DE9"/>
    <w:rsid w:val="3E1EADE1"/>
    <w:rsid w:val="3EBE2534"/>
    <w:rsid w:val="3F9E328F"/>
    <w:rsid w:val="3FB71D1A"/>
    <w:rsid w:val="3FDFD36F"/>
    <w:rsid w:val="3FE61EE5"/>
    <w:rsid w:val="406508EE"/>
    <w:rsid w:val="408D6263"/>
    <w:rsid w:val="41B40CEE"/>
    <w:rsid w:val="48317291"/>
    <w:rsid w:val="485F7024"/>
    <w:rsid w:val="48E70666"/>
    <w:rsid w:val="4ADF1751"/>
    <w:rsid w:val="4BFF4A77"/>
    <w:rsid w:val="4C6877E5"/>
    <w:rsid w:val="4D6A468D"/>
    <w:rsid w:val="4EA86137"/>
    <w:rsid w:val="4F7B8497"/>
    <w:rsid w:val="4FEFEF2D"/>
    <w:rsid w:val="53E77BC5"/>
    <w:rsid w:val="55F93CC8"/>
    <w:rsid w:val="56CA7FD0"/>
    <w:rsid w:val="56DE15EE"/>
    <w:rsid w:val="57FA38D1"/>
    <w:rsid w:val="59794653"/>
    <w:rsid w:val="59CDCAF3"/>
    <w:rsid w:val="5B6742EB"/>
    <w:rsid w:val="5BA4F98C"/>
    <w:rsid w:val="5CFF62AC"/>
    <w:rsid w:val="5DCCDA5C"/>
    <w:rsid w:val="5E5E1975"/>
    <w:rsid w:val="5EFD5E48"/>
    <w:rsid w:val="5F737401"/>
    <w:rsid w:val="5F7D3333"/>
    <w:rsid w:val="5FFCAC71"/>
    <w:rsid w:val="61385890"/>
    <w:rsid w:val="67C9B60C"/>
    <w:rsid w:val="67EE7AFF"/>
    <w:rsid w:val="687436E1"/>
    <w:rsid w:val="69D764D2"/>
    <w:rsid w:val="69FDF78C"/>
    <w:rsid w:val="6DA45C50"/>
    <w:rsid w:val="6E9A7825"/>
    <w:rsid w:val="6F3F2378"/>
    <w:rsid w:val="6F670F9B"/>
    <w:rsid w:val="6FA31858"/>
    <w:rsid w:val="6FADBC0B"/>
    <w:rsid w:val="6FDF039B"/>
    <w:rsid w:val="6FF237B0"/>
    <w:rsid w:val="6FFF5513"/>
    <w:rsid w:val="6FFF5DF8"/>
    <w:rsid w:val="707FB39A"/>
    <w:rsid w:val="729F4CB0"/>
    <w:rsid w:val="737450E0"/>
    <w:rsid w:val="74054476"/>
    <w:rsid w:val="742F38C4"/>
    <w:rsid w:val="747F5FB1"/>
    <w:rsid w:val="74AB66DC"/>
    <w:rsid w:val="74C4154C"/>
    <w:rsid w:val="75956FFF"/>
    <w:rsid w:val="75BA6B99"/>
    <w:rsid w:val="76DF09AA"/>
    <w:rsid w:val="76F9A2DD"/>
    <w:rsid w:val="772BECDA"/>
    <w:rsid w:val="777BB13A"/>
    <w:rsid w:val="77AA2D01"/>
    <w:rsid w:val="77FE3C38"/>
    <w:rsid w:val="792F966F"/>
    <w:rsid w:val="7B3FDD40"/>
    <w:rsid w:val="7B521995"/>
    <w:rsid w:val="7B5F0EE6"/>
    <w:rsid w:val="7B669CD1"/>
    <w:rsid w:val="7B7EEE70"/>
    <w:rsid w:val="7BEFDF2A"/>
    <w:rsid w:val="7BF4A893"/>
    <w:rsid w:val="7BF77951"/>
    <w:rsid w:val="7BF9CC62"/>
    <w:rsid w:val="7CDE1DBD"/>
    <w:rsid w:val="7D5FB322"/>
    <w:rsid w:val="7D7B278A"/>
    <w:rsid w:val="7D7FDCA8"/>
    <w:rsid w:val="7D943A85"/>
    <w:rsid w:val="7DB0448C"/>
    <w:rsid w:val="7DEB4288"/>
    <w:rsid w:val="7DED215A"/>
    <w:rsid w:val="7DFFEB5C"/>
    <w:rsid w:val="7E5F9AA4"/>
    <w:rsid w:val="7EEF3988"/>
    <w:rsid w:val="7EFAB9E9"/>
    <w:rsid w:val="7F3EC891"/>
    <w:rsid w:val="7F7D120E"/>
    <w:rsid w:val="7F874B23"/>
    <w:rsid w:val="7F95D4B4"/>
    <w:rsid w:val="7F9F45A6"/>
    <w:rsid w:val="7F9FB872"/>
    <w:rsid w:val="7FDCB88F"/>
    <w:rsid w:val="7FE58667"/>
    <w:rsid w:val="7FEF6491"/>
    <w:rsid w:val="7FFDA35D"/>
    <w:rsid w:val="7FFE61A7"/>
    <w:rsid w:val="8FFC8888"/>
    <w:rsid w:val="91725B92"/>
    <w:rsid w:val="A7F73C99"/>
    <w:rsid w:val="AD971831"/>
    <w:rsid w:val="AEA3C10D"/>
    <w:rsid w:val="AF577DEF"/>
    <w:rsid w:val="AF7EF09C"/>
    <w:rsid w:val="B15FE932"/>
    <w:rsid w:val="B5DF9E34"/>
    <w:rsid w:val="B5FFAF1B"/>
    <w:rsid w:val="B7A68D86"/>
    <w:rsid w:val="B7FCA2A8"/>
    <w:rsid w:val="B8EB726E"/>
    <w:rsid w:val="BB9B724F"/>
    <w:rsid w:val="BBEF21A3"/>
    <w:rsid w:val="BC732418"/>
    <w:rsid w:val="BEA18305"/>
    <w:rsid w:val="BEF7C955"/>
    <w:rsid w:val="BF2E4856"/>
    <w:rsid w:val="BF7BE184"/>
    <w:rsid w:val="BFD535FA"/>
    <w:rsid w:val="BFF70CBA"/>
    <w:rsid w:val="BFFE3BF4"/>
    <w:rsid w:val="BFFF7AAB"/>
    <w:rsid w:val="C7FFA4F2"/>
    <w:rsid w:val="CC3B2B94"/>
    <w:rsid w:val="CEFD0F28"/>
    <w:rsid w:val="CEFE3814"/>
    <w:rsid w:val="CF7E37A4"/>
    <w:rsid w:val="CFB7BEC7"/>
    <w:rsid w:val="CFFFB808"/>
    <w:rsid w:val="D19F347B"/>
    <w:rsid w:val="D73F098B"/>
    <w:rsid w:val="D7671D7B"/>
    <w:rsid w:val="D7EF466D"/>
    <w:rsid w:val="DDEF847B"/>
    <w:rsid w:val="DEB976F9"/>
    <w:rsid w:val="DEDF531A"/>
    <w:rsid w:val="DF7A04C4"/>
    <w:rsid w:val="DFEBDA37"/>
    <w:rsid w:val="DFEDE989"/>
    <w:rsid w:val="DFEFB244"/>
    <w:rsid w:val="E7F3C809"/>
    <w:rsid w:val="E7F7FA6D"/>
    <w:rsid w:val="E9FE3BDD"/>
    <w:rsid w:val="EDBE0DF7"/>
    <w:rsid w:val="EDBF18D4"/>
    <w:rsid w:val="EEFD5C8F"/>
    <w:rsid w:val="EEFF85D1"/>
    <w:rsid w:val="EF478A04"/>
    <w:rsid w:val="EF6FCA1D"/>
    <w:rsid w:val="EFDD62DE"/>
    <w:rsid w:val="EFEF4246"/>
    <w:rsid w:val="EFFB0095"/>
    <w:rsid w:val="EFFF57D6"/>
    <w:rsid w:val="F15B4562"/>
    <w:rsid w:val="F1DF60AF"/>
    <w:rsid w:val="F3F319F4"/>
    <w:rsid w:val="F4F5C9C2"/>
    <w:rsid w:val="F4FB4C50"/>
    <w:rsid w:val="F50F6D61"/>
    <w:rsid w:val="F5FE9091"/>
    <w:rsid w:val="F7BB4F77"/>
    <w:rsid w:val="F7FAAD19"/>
    <w:rsid w:val="F7FFD4BB"/>
    <w:rsid w:val="F9E77B47"/>
    <w:rsid w:val="F9EE2172"/>
    <w:rsid w:val="F9EE89C2"/>
    <w:rsid w:val="F9F7B0ED"/>
    <w:rsid w:val="F9F92B87"/>
    <w:rsid w:val="FABF681D"/>
    <w:rsid w:val="FAEED899"/>
    <w:rsid w:val="FB77D004"/>
    <w:rsid w:val="FBBB9627"/>
    <w:rsid w:val="FBF74D4B"/>
    <w:rsid w:val="FBFF33BD"/>
    <w:rsid w:val="FC5E978D"/>
    <w:rsid w:val="FCFC66C8"/>
    <w:rsid w:val="FD33A2D0"/>
    <w:rsid w:val="FD5FF35D"/>
    <w:rsid w:val="FDB73AD7"/>
    <w:rsid w:val="FDB76001"/>
    <w:rsid w:val="FDBFA8D9"/>
    <w:rsid w:val="FDD698D5"/>
    <w:rsid w:val="FDED954D"/>
    <w:rsid w:val="FDFD105B"/>
    <w:rsid w:val="FDFDF0C8"/>
    <w:rsid w:val="FEDF9AB4"/>
    <w:rsid w:val="FEEF8482"/>
    <w:rsid w:val="FF495D4C"/>
    <w:rsid w:val="FF5D2092"/>
    <w:rsid w:val="FF620E26"/>
    <w:rsid w:val="FF6DC8A3"/>
    <w:rsid w:val="FF7FA20F"/>
    <w:rsid w:val="FFB8D7C1"/>
    <w:rsid w:val="FFBB0F04"/>
    <w:rsid w:val="FFCBCE66"/>
    <w:rsid w:val="FFDA8839"/>
    <w:rsid w:val="FFDBDB59"/>
    <w:rsid w:val="FFDF747D"/>
    <w:rsid w:val="FFED8404"/>
    <w:rsid w:val="FFF9F4D4"/>
    <w:rsid w:val="FFFD9CCC"/>
    <w:rsid w:val="FFFE81A3"/>
    <w:rsid w:val="FFFF5D1A"/>
    <w:rsid w:val="FFFF91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rPr>
      <w:rFonts w:ascii="Times New Roman" w:hAnsi="Times New Roman"/>
    </w:rPr>
  </w:style>
  <w:style w:type="paragraph" w:styleId="7">
    <w:name w:val="Normal (Web)"/>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styleId="8">
    <w:name w:val="annotation subject"/>
    <w:basedOn w:val="2"/>
    <w:next w:val="2"/>
    <w:link w:val="16"/>
    <w:qFormat/>
    <w:uiPriority w:val="0"/>
    <w:rPr>
      <w:b/>
      <w:bCs/>
    </w:rPr>
  </w:style>
  <w:style w:type="character" w:styleId="11">
    <w:name w:val="page number"/>
    <w:qFormat/>
    <w:uiPriority w:val="0"/>
  </w:style>
  <w:style w:type="character" w:styleId="12">
    <w:name w:val="annotation reference"/>
    <w:qFormat/>
    <w:uiPriority w:val="0"/>
    <w:rPr>
      <w:sz w:val="21"/>
      <w:szCs w:val="21"/>
    </w:rPr>
  </w:style>
  <w:style w:type="character" w:customStyle="1" w:styleId="13">
    <w:name w:val="批注文字 Char"/>
    <w:link w:val="2"/>
    <w:qFormat/>
    <w:uiPriority w:val="0"/>
    <w:rPr>
      <w:kern w:val="2"/>
      <w:sz w:val="21"/>
      <w:szCs w:val="24"/>
    </w:rPr>
  </w:style>
  <w:style w:type="character" w:customStyle="1" w:styleId="14">
    <w:name w:val="批注框文本 Char"/>
    <w:link w:val="3"/>
    <w:qFormat/>
    <w:uiPriority w:val="0"/>
    <w:rPr>
      <w:kern w:val="2"/>
      <w:sz w:val="18"/>
      <w:szCs w:val="18"/>
    </w:rPr>
  </w:style>
  <w:style w:type="character" w:customStyle="1" w:styleId="15">
    <w:name w:val="页眉 Char"/>
    <w:link w:val="5"/>
    <w:qFormat/>
    <w:uiPriority w:val="0"/>
    <w:rPr>
      <w:kern w:val="2"/>
      <w:sz w:val="18"/>
      <w:szCs w:val="18"/>
    </w:rPr>
  </w:style>
  <w:style w:type="character" w:customStyle="1" w:styleId="16">
    <w:name w:val="批注主题 Char"/>
    <w:link w:val="8"/>
    <w:qFormat/>
    <w:uiPriority w:val="0"/>
    <w:rPr>
      <w:b/>
      <w:bCs/>
      <w:kern w:val="2"/>
      <w:sz w:val="21"/>
      <w:szCs w:val="24"/>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WPSOffice手动目录 2"/>
    <w:qFormat/>
    <w:uiPriority w:val="0"/>
    <w:pPr>
      <w:ind w:leftChars="200"/>
    </w:pPr>
    <w:rPr>
      <w:rFonts w:ascii="Times New Roman" w:hAnsi="Times New Roman" w:eastAsia="宋体" w:cs="Times New Roman"/>
      <w:lang w:val="en-US" w:eastAsia="zh-CN" w:bidi="ar-SA"/>
    </w:rPr>
  </w:style>
  <w:style w:type="paragraph" w:customStyle="1" w:styleId="19">
    <w:name w:val="正文1 Char Char Char"/>
    <w:basedOn w:val="1"/>
    <w:qFormat/>
    <w:uiPriority w:val="0"/>
    <w:pPr>
      <w:spacing w:line="360" w:lineRule="auto"/>
      <w:ind w:firstLine="200" w:firstLineChars="200"/>
    </w:pPr>
  </w:style>
  <w:style w:type="paragraph" w:customStyle="1" w:styleId="20">
    <w:name w:val="List Paragraph*"/>
    <w:basedOn w:val="1"/>
    <w:qFormat/>
    <w:uiPriority w:val="7"/>
    <w:pPr>
      <w:ind w:firstLine="420"/>
    </w:pPr>
    <w:rPr>
      <w:kern w:val="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1163</Words>
  <Characters>2480</Characters>
  <Lines>67</Lines>
  <Paragraphs>18</Paragraphs>
  <TotalTime>3</TotalTime>
  <ScaleCrop>false</ScaleCrop>
  <LinksUpToDate>false</LinksUpToDate>
  <CharactersWithSpaces>2528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2024-07-25T19:26:00Z</dcterms:created>
  <dc:creator>uos</dc:creator>
  <cp:lastModifiedBy>uos</cp:lastModifiedBy>
  <cp:lastPrinted>2023-08-04T16:58:00Z</cp:lastPrinted>
  <dcterms:modified xsi:type="dcterms:W3CDTF">2025-08-15T12:03:56Z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