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52"/>
          <w:szCs w:val="52"/>
          <w:highlight w:val="none"/>
        </w:rPr>
      </w:pPr>
      <w:bookmarkStart w:id="0" w:name="_GoBack"/>
      <w:bookmarkEnd w:id="0"/>
      <w:r>
        <w:rPr>
          <w:rFonts w:hint="eastAsia" w:ascii="黑体" w:hAnsi="黑体" w:eastAsia="黑体"/>
          <w:sz w:val="52"/>
          <w:szCs w:val="52"/>
          <w:highlight w:val="none"/>
        </w:rPr>
        <w:t>目录</w:t>
      </w:r>
    </w:p>
    <w:p>
      <w:pPr>
        <w:pStyle w:val="2"/>
        <w:jc w:val="center"/>
        <w:rPr>
          <w:rFonts w:hint="eastAsia"/>
        </w:rPr>
      </w:pPr>
    </w:p>
    <w:p>
      <w:pPr>
        <w:pStyle w:val="25"/>
        <w:numPr>
          <w:ilvl w:val="0"/>
          <w:numId w:val="1"/>
        </w:numPr>
        <w:ind w:firstLineChars="0"/>
        <w:jc w:val="left"/>
        <w:rPr>
          <w:rFonts w:ascii="黑体" w:hAnsi="黑体" w:eastAsia="黑体"/>
          <w:sz w:val="32"/>
          <w:szCs w:val="32"/>
          <w:highlight w:val="none"/>
        </w:rPr>
      </w:pPr>
      <w:r>
        <w:rPr>
          <w:rFonts w:hint="eastAsia" w:ascii="黑体" w:hAnsi="黑体" w:eastAsia="黑体"/>
          <w:sz w:val="32"/>
          <w:szCs w:val="32"/>
          <w:highlight w:val="none"/>
        </w:rPr>
        <w:t xml:space="preserve">  </w:t>
      </w:r>
      <w:r>
        <w:rPr>
          <w:rFonts w:hint="eastAsia" w:ascii="仿宋_GB2312" w:hAnsi="黑体" w:eastAsia="仿宋_GB2312" w:cs="仿宋_GB2312"/>
          <w:sz w:val="32"/>
          <w:szCs w:val="32"/>
          <w:highlight w:val="none"/>
        </w:rPr>
        <w:t xml:space="preserve"> </w:t>
      </w:r>
      <w:r>
        <w:rPr>
          <w:rFonts w:hint="eastAsia" w:ascii="黑体" w:hAnsi="黑体" w:eastAsia="黑体"/>
          <w:sz w:val="32"/>
          <w:szCs w:val="32"/>
          <w:highlight w:val="none"/>
          <w:lang w:eastAsia="zh-CN"/>
        </w:rPr>
        <w:t>海南省文联部门</w:t>
      </w:r>
      <w:r>
        <w:rPr>
          <w:rFonts w:hint="eastAsia" w:ascii="黑体" w:hAnsi="黑体" w:eastAsia="黑体"/>
          <w:sz w:val="32"/>
          <w:szCs w:val="32"/>
          <w:highlight w:val="none"/>
        </w:rPr>
        <w:t>概况</w:t>
      </w:r>
    </w:p>
    <w:p>
      <w:pPr>
        <w:pStyle w:val="25"/>
        <w:numPr>
          <w:ilvl w:val="0"/>
          <w:numId w:val="2"/>
        </w:numPr>
        <w:ind w:firstLineChars="0"/>
        <w:jc w:val="left"/>
        <w:rPr>
          <w:rFonts w:ascii="黑体" w:hAnsi="黑体" w:eastAsia="黑体"/>
          <w:sz w:val="32"/>
          <w:szCs w:val="32"/>
          <w:highlight w:val="none"/>
        </w:rPr>
      </w:pPr>
      <w:r>
        <w:rPr>
          <w:rFonts w:hint="eastAsia" w:ascii="黑体" w:hAnsi="黑体" w:eastAsia="黑体"/>
          <w:sz w:val="32"/>
          <w:szCs w:val="32"/>
          <w:highlight w:val="none"/>
        </w:rPr>
        <w:t>主要职能</w:t>
      </w:r>
    </w:p>
    <w:p>
      <w:pPr>
        <w:pStyle w:val="25"/>
        <w:numPr>
          <w:ilvl w:val="0"/>
          <w:numId w:val="2"/>
        </w:numPr>
        <w:ind w:firstLineChars="0"/>
        <w:jc w:val="left"/>
        <w:rPr>
          <w:rFonts w:ascii="黑体" w:hAnsi="黑体" w:eastAsia="黑体"/>
          <w:sz w:val="32"/>
          <w:szCs w:val="32"/>
          <w:highlight w:val="none"/>
        </w:rPr>
      </w:pPr>
      <w:r>
        <w:rPr>
          <w:rFonts w:hint="eastAsia" w:ascii="黑体" w:hAnsi="黑体" w:eastAsia="黑体"/>
          <w:sz w:val="32"/>
          <w:szCs w:val="32"/>
          <w:highlight w:val="none"/>
        </w:rPr>
        <w:t>部门预算单位构成</w:t>
      </w:r>
    </w:p>
    <w:p>
      <w:pPr>
        <w:pStyle w:val="25"/>
        <w:numPr>
          <w:ilvl w:val="0"/>
          <w:numId w:val="1"/>
        </w:numPr>
        <w:ind w:firstLineChars="0"/>
        <w:rPr>
          <w:rFonts w:ascii="黑体" w:hAnsi="黑体" w:eastAsia="黑体"/>
          <w:sz w:val="32"/>
          <w:szCs w:val="32"/>
          <w:highlight w:val="none"/>
        </w:rPr>
      </w:pPr>
      <w:r>
        <w:rPr>
          <w:rFonts w:hint="eastAsia" w:ascii="黑体" w:hAnsi="黑体" w:eastAsia="黑体"/>
          <w:sz w:val="32"/>
          <w:szCs w:val="32"/>
          <w:highlight w:val="none"/>
        </w:rPr>
        <w:t xml:space="preserve">  </w:t>
      </w:r>
      <w:r>
        <w:rPr>
          <w:rFonts w:hint="eastAsia" w:ascii="黑体" w:hAnsi="黑体" w:eastAsia="黑体"/>
          <w:sz w:val="32"/>
          <w:szCs w:val="32"/>
          <w:highlight w:val="none"/>
          <w:lang w:eastAsia="zh-CN"/>
        </w:rPr>
        <w:t>海南省文联</w:t>
      </w:r>
      <w:r>
        <w:rPr>
          <w:rFonts w:hint="eastAsia" w:ascii="黑体" w:hAnsi="黑体" w:eastAsia="黑体"/>
          <w:sz w:val="32"/>
          <w:szCs w:val="32"/>
          <w:highlight w:val="none"/>
          <w:lang w:val="en-US" w:eastAsia="zh-CN"/>
        </w:rPr>
        <w:t>2023年</w:t>
      </w:r>
      <w:r>
        <w:rPr>
          <w:rFonts w:hint="eastAsia" w:ascii="黑体" w:hAnsi="黑体" w:eastAsia="黑体"/>
          <w:sz w:val="32"/>
          <w:szCs w:val="32"/>
          <w:highlight w:val="none"/>
        </w:rPr>
        <w:t>部门预算</w:t>
      </w:r>
      <w:r>
        <w:rPr>
          <w:rFonts w:hint="eastAsia" w:ascii="黑体" w:hAnsi="黑体" w:eastAsia="黑体"/>
          <w:sz w:val="32"/>
          <w:szCs w:val="32"/>
          <w:highlight w:val="none"/>
          <w:lang w:eastAsia="zh-CN"/>
        </w:rPr>
        <w:t>公开</w:t>
      </w:r>
      <w:r>
        <w:rPr>
          <w:rFonts w:hint="eastAsia" w:ascii="黑体" w:hAnsi="黑体" w:eastAsia="黑体"/>
          <w:sz w:val="32"/>
          <w:szCs w:val="32"/>
          <w:highlight w:val="none"/>
        </w:rPr>
        <w:t>表</w:t>
      </w:r>
    </w:p>
    <w:p>
      <w:pPr>
        <w:pStyle w:val="2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财政拨款收支总表</w:t>
      </w:r>
    </w:p>
    <w:p>
      <w:pPr>
        <w:pStyle w:val="2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一般公共预算支出表</w:t>
      </w:r>
    </w:p>
    <w:p>
      <w:pPr>
        <w:pStyle w:val="2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一般公共预算基本支出表</w:t>
      </w:r>
    </w:p>
    <w:p>
      <w:pPr>
        <w:pStyle w:val="2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一般公共预算“三公”经费支出表</w:t>
      </w:r>
    </w:p>
    <w:p>
      <w:pPr>
        <w:pStyle w:val="2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政府性基金预算支出表。</w:t>
      </w:r>
    </w:p>
    <w:p>
      <w:pPr>
        <w:pStyle w:val="2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政府性基金预算“三公”经费支出表</w:t>
      </w:r>
    </w:p>
    <w:p>
      <w:pPr>
        <w:pStyle w:val="25"/>
        <w:numPr>
          <w:ilvl w:val="0"/>
          <w:numId w:val="3"/>
        </w:numPr>
        <w:ind w:firstLineChars="0"/>
        <w:jc w:val="left"/>
        <w:rPr>
          <w:rFonts w:ascii="黑体" w:hAnsi="黑体" w:eastAsia="黑体"/>
          <w:sz w:val="32"/>
          <w:szCs w:val="32"/>
          <w:highlight w:val="none"/>
        </w:rPr>
      </w:pPr>
      <w:r>
        <w:rPr>
          <w:rFonts w:hint="eastAsia" w:ascii="仿宋_GB2312" w:hAnsi="仿宋_GB2312" w:eastAsia="仿宋_GB2312" w:cs="仿宋_GB2312"/>
          <w:sz w:val="32"/>
          <w:szCs w:val="32"/>
          <w:highlight w:val="none"/>
        </w:rPr>
        <w:t>部门收支总表</w:t>
      </w:r>
    </w:p>
    <w:p>
      <w:pPr>
        <w:pStyle w:val="25"/>
        <w:numPr>
          <w:ilvl w:val="0"/>
          <w:numId w:val="3"/>
        </w:numPr>
        <w:ind w:firstLineChars="0"/>
        <w:jc w:val="left"/>
        <w:rPr>
          <w:rFonts w:ascii="黑体" w:hAnsi="黑体" w:eastAsia="黑体"/>
          <w:sz w:val="32"/>
          <w:szCs w:val="32"/>
          <w:highlight w:val="none"/>
        </w:rPr>
      </w:pPr>
      <w:r>
        <w:rPr>
          <w:rFonts w:hint="eastAsia" w:ascii="仿宋_GB2312" w:hAnsi="仿宋_GB2312" w:eastAsia="仿宋_GB2312" w:cs="仿宋_GB2312"/>
          <w:sz w:val="32"/>
          <w:szCs w:val="32"/>
          <w:highlight w:val="none"/>
        </w:rPr>
        <w:t>部门收入总表</w:t>
      </w:r>
    </w:p>
    <w:p>
      <w:pPr>
        <w:pStyle w:val="25"/>
        <w:numPr>
          <w:ilvl w:val="0"/>
          <w:numId w:val="3"/>
        </w:numPr>
        <w:ind w:firstLineChars="0"/>
        <w:jc w:val="left"/>
        <w:rPr>
          <w:rFonts w:ascii="黑体" w:hAnsi="黑体" w:eastAsia="黑体"/>
          <w:sz w:val="32"/>
          <w:szCs w:val="32"/>
          <w:highlight w:val="none"/>
        </w:rPr>
      </w:pPr>
      <w:r>
        <w:rPr>
          <w:rFonts w:hint="eastAsia" w:ascii="仿宋_GB2312" w:hAnsi="仿宋_GB2312" w:eastAsia="仿宋_GB2312" w:cs="仿宋_GB2312"/>
          <w:sz w:val="32"/>
          <w:szCs w:val="32"/>
          <w:highlight w:val="none"/>
        </w:rPr>
        <w:t>部门支出总表</w:t>
      </w:r>
    </w:p>
    <w:p>
      <w:pPr>
        <w:pStyle w:val="25"/>
        <w:numPr>
          <w:ilvl w:val="0"/>
          <w:numId w:val="3"/>
        </w:numPr>
        <w:ind w:firstLineChars="0"/>
        <w:jc w:val="left"/>
        <w:rPr>
          <w:rFonts w:ascii="黑体" w:hAnsi="黑体" w:eastAsia="黑体"/>
          <w:sz w:val="32"/>
          <w:szCs w:val="32"/>
          <w:highlight w:val="none"/>
        </w:rPr>
      </w:pPr>
      <w:r>
        <w:rPr>
          <w:rFonts w:hint="eastAsia" w:ascii="仿宋_GB2312" w:hAnsi="仿宋_GB2312" w:eastAsia="仿宋_GB2312" w:cs="仿宋_GB2312"/>
          <w:sz w:val="32"/>
          <w:szCs w:val="32"/>
          <w:highlight w:val="none"/>
        </w:rPr>
        <w:t>项目支出绩效信息表</w:t>
      </w:r>
    </w:p>
    <w:p>
      <w:pPr>
        <w:pStyle w:val="25"/>
        <w:numPr>
          <w:ilvl w:val="0"/>
          <w:numId w:val="1"/>
        </w:numPr>
        <w:ind w:firstLineChars="0"/>
        <w:jc w:val="left"/>
        <w:rPr>
          <w:rFonts w:ascii="仿宋_GB2312" w:hAnsi="仿宋_GB2312" w:eastAsia="仿宋_GB2312" w:cs="仿宋_GB2312"/>
          <w:sz w:val="32"/>
          <w:szCs w:val="32"/>
          <w:highlight w:val="none"/>
        </w:rPr>
      </w:pPr>
      <w:r>
        <w:rPr>
          <w:rFonts w:hint="eastAsia" w:ascii="黑体" w:hAnsi="黑体" w:eastAsia="黑体"/>
          <w:sz w:val="32"/>
          <w:szCs w:val="32"/>
          <w:highlight w:val="none"/>
        </w:rPr>
        <w:t xml:space="preserve">  </w:t>
      </w:r>
      <w:r>
        <w:rPr>
          <w:rFonts w:hint="eastAsia" w:ascii="黑体" w:hAnsi="黑体" w:eastAsia="黑体"/>
          <w:sz w:val="32"/>
          <w:szCs w:val="32"/>
          <w:highlight w:val="none"/>
          <w:lang w:eastAsia="zh-CN"/>
        </w:rPr>
        <w:t>海南省文联</w:t>
      </w:r>
      <w:r>
        <w:rPr>
          <w:rFonts w:hint="eastAsia" w:ascii="黑体" w:hAnsi="黑体" w:eastAsia="黑体"/>
          <w:sz w:val="32"/>
          <w:szCs w:val="32"/>
          <w:highlight w:val="none"/>
          <w:lang w:val="en-US" w:eastAsia="zh-CN"/>
        </w:rPr>
        <w:t>2023年</w:t>
      </w:r>
      <w:r>
        <w:rPr>
          <w:rFonts w:hint="eastAsia" w:ascii="黑体" w:hAnsi="黑体" w:eastAsia="黑体"/>
          <w:sz w:val="32"/>
          <w:szCs w:val="32"/>
          <w:highlight w:val="none"/>
        </w:rPr>
        <w:t>部门预算情况说明</w:t>
      </w:r>
    </w:p>
    <w:p>
      <w:pPr>
        <w:pStyle w:val="25"/>
        <w:numPr>
          <w:ilvl w:val="0"/>
          <w:numId w:val="1"/>
        </w:numPr>
        <w:ind w:firstLineChars="0"/>
        <w:jc w:val="left"/>
        <w:rPr>
          <w:rFonts w:ascii="黑体" w:hAnsi="黑体" w:eastAsia="黑体"/>
          <w:sz w:val="32"/>
          <w:szCs w:val="32"/>
          <w:highlight w:val="none"/>
        </w:rPr>
      </w:pPr>
      <w:r>
        <w:rPr>
          <w:rFonts w:hint="eastAsia" w:ascii="黑体" w:hAnsi="黑体" w:eastAsia="黑体"/>
          <w:sz w:val="32"/>
          <w:szCs w:val="32"/>
          <w:highlight w:val="none"/>
        </w:rPr>
        <w:t xml:space="preserve">  名词解释</w:t>
      </w:r>
    </w:p>
    <w:p>
      <w:pPr>
        <w:pStyle w:val="25"/>
        <w:widowControl w:val="0"/>
        <w:numPr>
          <w:ilvl w:val="0"/>
          <w:numId w:val="0"/>
        </w:numPr>
        <w:jc w:val="left"/>
        <w:rPr>
          <w:rFonts w:hint="eastAsia" w:ascii="黑体" w:hAnsi="黑体" w:eastAsia="黑体"/>
          <w:sz w:val="32"/>
          <w:szCs w:val="32"/>
          <w:highlight w:val="none"/>
        </w:rPr>
      </w:pPr>
    </w:p>
    <w:p>
      <w:pPr>
        <w:pStyle w:val="25"/>
        <w:widowControl w:val="0"/>
        <w:numPr>
          <w:ilvl w:val="0"/>
          <w:numId w:val="0"/>
        </w:numPr>
        <w:jc w:val="left"/>
        <w:rPr>
          <w:rFonts w:hint="eastAsia" w:ascii="黑体" w:hAnsi="黑体" w:eastAsia="黑体"/>
          <w:sz w:val="32"/>
          <w:szCs w:val="32"/>
          <w:highlight w:val="none"/>
        </w:rPr>
      </w:pPr>
    </w:p>
    <w:p>
      <w:pPr>
        <w:pStyle w:val="25"/>
        <w:widowControl w:val="0"/>
        <w:numPr>
          <w:ilvl w:val="0"/>
          <w:numId w:val="0"/>
        </w:numPr>
        <w:jc w:val="left"/>
        <w:rPr>
          <w:rFonts w:hint="eastAsia" w:ascii="黑体" w:hAnsi="黑体" w:eastAsia="黑体"/>
          <w:sz w:val="32"/>
          <w:szCs w:val="32"/>
          <w:highlight w:val="none"/>
        </w:rPr>
      </w:pPr>
    </w:p>
    <w:p>
      <w:pPr>
        <w:pStyle w:val="25"/>
        <w:numPr>
          <w:ilvl w:val="0"/>
          <w:numId w:val="4"/>
        </w:numPr>
        <w:ind w:firstLineChars="0"/>
        <w:jc w:val="center"/>
        <w:rPr>
          <w:rFonts w:ascii="仿宋_GB2312" w:hAnsi="仿宋_GB2312" w:eastAsia="仿宋_GB2312" w:cs="仿宋_GB2312"/>
          <w:sz w:val="32"/>
          <w:szCs w:val="32"/>
          <w:highlight w:val="none"/>
        </w:rPr>
      </w:pPr>
      <w:r>
        <w:rPr>
          <w:rFonts w:hint="eastAsia" w:ascii="黑体" w:hAnsi="黑体" w:eastAsia="黑体"/>
          <w:sz w:val="32"/>
          <w:szCs w:val="32"/>
          <w:highlight w:val="none"/>
        </w:rPr>
        <w:t xml:space="preserve">  </w:t>
      </w:r>
      <w:r>
        <w:rPr>
          <w:rFonts w:hint="eastAsia" w:ascii="黑体" w:hAnsi="黑体" w:eastAsia="黑体"/>
          <w:sz w:val="32"/>
          <w:szCs w:val="32"/>
          <w:highlight w:val="none"/>
          <w:lang w:eastAsia="zh-CN"/>
        </w:rPr>
        <w:t>海南文联部门</w:t>
      </w:r>
      <w:r>
        <w:rPr>
          <w:rFonts w:hint="eastAsia" w:ascii="黑体" w:hAnsi="黑体" w:eastAsia="黑体"/>
          <w:sz w:val="32"/>
          <w:szCs w:val="32"/>
          <w:highlight w:val="none"/>
        </w:rPr>
        <w:t>概况</w:t>
      </w:r>
    </w:p>
    <w:p>
      <w:pPr>
        <w:pStyle w:val="25"/>
        <w:numPr>
          <w:ilvl w:val="0"/>
          <w:numId w:val="0"/>
        </w:numPr>
        <w:ind w:firstLine="640" w:firstLineChars="200"/>
        <w:jc w:val="left"/>
        <w:rPr>
          <w:highlight w:val="none"/>
        </w:rPr>
      </w:pPr>
      <w:r>
        <w:rPr>
          <w:rFonts w:hint="eastAsia" w:ascii="黑体" w:hAnsi="黑体" w:eastAsia="黑体" w:cs="仿宋_GB2312"/>
          <w:sz w:val="32"/>
          <w:szCs w:val="32"/>
          <w:highlight w:val="none"/>
          <w:lang w:eastAsia="zh-CN"/>
        </w:rPr>
        <w:t>一、</w:t>
      </w:r>
      <w:r>
        <w:rPr>
          <w:rFonts w:hint="eastAsia" w:ascii="黑体" w:hAnsi="黑体" w:eastAsia="黑体" w:cs="仿宋_GB2312"/>
          <w:sz w:val="32"/>
          <w:szCs w:val="32"/>
          <w:highlight w:val="none"/>
        </w:rPr>
        <w:t>主要职能</w:t>
      </w:r>
    </w:p>
    <w:p>
      <w:pPr>
        <w:pStyle w:val="17"/>
        <w:numPr>
          <w:ilvl w:val="0"/>
          <w:numId w:val="5"/>
        </w:numPr>
        <w:tabs>
          <w:tab w:val="left" w:pos="1580"/>
        </w:tabs>
        <w:spacing w:before="0" w:line="364" w:lineRule="auto"/>
        <w:ind w:firstLine="640"/>
        <w:rPr>
          <w:rFonts w:ascii="仿宋" w:hAnsi="仿宋" w:eastAsia="仿宋" w:cs="仿宋"/>
          <w:color w:val="000000" w:themeColor="text1"/>
          <w:sz w:val="32"/>
          <w:highlight w:val="none"/>
          <w14:textFill>
            <w14:solidFill>
              <w14:schemeClr w14:val="tx1"/>
            </w14:solidFill>
          </w14:textFill>
        </w:rPr>
      </w:pPr>
      <w:r>
        <w:rPr>
          <w:rFonts w:hint="eastAsia" w:ascii="仿宋" w:hAnsi="仿宋" w:eastAsia="仿宋" w:cs="仿宋"/>
          <w:color w:val="000000" w:themeColor="text1"/>
          <w:spacing w:val="6"/>
          <w:w w:val="95"/>
          <w:sz w:val="32"/>
          <w:highlight w:val="none"/>
          <w14:textFill>
            <w14:solidFill>
              <w14:schemeClr w14:val="tx1"/>
            </w14:solidFill>
          </w14:textFill>
        </w:rPr>
        <w:t>贯彻落实党的文艺路线、方针、政策，努力繁荣</w:t>
      </w:r>
      <w:r>
        <w:rPr>
          <w:rFonts w:hint="eastAsia" w:ascii="仿宋" w:hAnsi="仿宋" w:eastAsia="仿宋" w:cs="仿宋"/>
          <w:color w:val="000000" w:themeColor="text1"/>
          <w:spacing w:val="6"/>
          <w:sz w:val="32"/>
          <w:highlight w:val="none"/>
          <w14:textFill>
            <w14:solidFill>
              <w14:schemeClr w14:val="tx1"/>
            </w14:solidFill>
          </w14:textFill>
        </w:rPr>
        <w:t>和发展社会</w:t>
      </w:r>
      <w:r>
        <w:rPr>
          <w:rFonts w:hint="eastAsia" w:ascii="仿宋" w:hAnsi="仿宋" w:eastAsia="仿宋" w:cs="仿宋"/>
          <w:color w:val="000000" w:themeColor="text1"/>
          <w:spacing w:val="6"/>
          <w:sz w:val="32"/>
          <w:highlight w:val="none"/>
          <w:lang w:eastAsia="zh-CN"/>
          <w14:textFill>
            <w14:solidFill>
              <w14:schemeClr w14:val="tx1"/>
            </w14:solidFill>
          </w14:textFill>
        </w:rPr>
        <w:t>主义</w:t>
      </w:r>
      <w:r>
        <w:rPr>
          <w:rFonts w:hint="eastAsia" w:ascii="仿宋" w:hAnsi="仿宋" w:eastAsia="仿宋" w:cs="仿宋"/>
          <w:color w:val="000000" w:themeColor="text1"/>
          <w:spacing w:val="6"/>
          <w:sz w:val="32"/>
          <w:highlight w:val="none"/>
          <w14:textFill>
            <w14:solidFill>
              <w14:schemeClr w14:val="tx1"/>
            </w14:solidFill>
          </w14:textFill>
        </w:rPr>
        <w:t>文艺事业。</w:t>
      </w:r>
    </w:p>
    <w:p>
      <w:pPr>
        <w:pStyle w:val="17"/>
        <w:numPr>
          <w:ilvl w:val="0"/>
          <w:numId w:val="5"/>
        </w:numPr>
        <w:tabs>
          <w:tab w:val="left" w:pos="1580"/>
        </w:tabs>
        <w:spacing w:before="2" w:line="364" w:lineRule="auto"/>
        <w:ind w:firstLine="640"/>
        <w:rPr>
          <w:rFonts w:ascii="仿宋" w:hAnsi="仿宋" w:eastAsia="仿宋" w:cs="仿宋"/>
          <w:color w:val="000000" w:themeColor="text1"/>
          <w:sz w:val="32"/>
          <w:highlight w:val="none"/>
          <w14:textFill>
            <w14:solidFill>
              <w14:schemeClr w14:val="tx1"/>
            </w14:solidFill>
          </w14:textFill>
        </w:rPr>
      </w:pPr>
      <w:r>
        <w:rPr>
          <w:rFonts w:hint="eastAsia" w:ascii="仿宋" w:hAnsi="仿宋" w:eastAsia="仿宋" w:cs="仿宋"/>
          <w:color w:val="000000" w:themeColor="text1"/>
          <w:spacing w:val="6"/>
          <w:w w:val="95"/>
          <w:sz w:val="32"/>
          <w:highlight w:val="none"/>
          <w14:textFill>
            <w14:solidFill>
              <w14:schemeClr w14:val="tx1"/>
            </w14:solidFill>
          </w14:textFill>
        </w:rPr>
        <w:t>围绕党的中心任务，结合文联工作特点，提出各</w:t>
      </w:r>
      <w:r>
        <w:rPr>
          <w:rFonts w:hint="eastAsia" w:ascii="仿宋" w:hAnsi="仿宋" w:eastAsia="仿宋" w:cs="仿宋"/>
          <w:color w:val="000000" w:themeColor="text1"/>
          <w:spacing w:val="6"/>
          <w:sz w:val="32"/>
          <w:highlight w:val="none"/>
          <w14:textFill>
            <w14:solidFill>
              <w14:schemeClr w14:val="tx1"/>
            </w14:solidFill>
          </w14:textFill>
        </w:rPr>
        <w:t>时期文联工作的任务，制定全省文联的工作目标。</w:t>
      </w:r>
    </w:p>
    <w:p>
      <w:pPr>
        <w:pStyle w:val="17"/>
        <w:numPr>
          <w:ilvl w:val="0"/>
          <w:numId w:val="5"/>
        </w:numPr>
        <w:tabs>
          <w:tab w:val="left" w:pos="1580"/>
        </w:tabs>
        <w:spacing w:before="1" w:line="364" w:lineRule="auto"/>
        <w:ind w:firstLine="640"/>
        <w:rPr>
          <w:rFonts w:ascii="仿宋" w:hAnsi="仿宋" w:eastAsia="仿宋" w:cs="仿宋"/>
          <w:color w:val="000000" w:themeColor="text1"/>
          <w:sz w:val="32"/>
          <w:highlight w:val="none"/>
          <w14:textFill>
            <w14:solidFill>
              <w14:schemeClr w14:val="tx1"/>
            </w14:solidFill>
          </w14:textFill>
        </w:rPr>
      </w:pPr>
      <w:r>
        <w:rPr>
          <w:rFonts w:hint="eastAsia" w:ascii="仿宋" w:hAnsi="仿宋" w:eastAsia="仿宋" w:cs="仿宋"/>
          <w:color w:val="000000" w:themeColor="text1"/>
          <w:spacing w:val="6"/>
          <w:w w:val="95"/>
          <w:sz w:val="32"/>
          <w:highlight w:val="none"/>
          <w:lang w:eastAsia="zh-CN"/>
          <w14:textFill>
            <w14:solidFill>
              <w14:schemeClr w14:val="tx1"/>
            </w14:solidFill>
          </w14:textFill>
        </w:rPr>
        <w:t>做好同我省各文艺家协会和各市县文联的联络、协调、服务工作，组织会员间的交流活动</w:t>
      </w:r>
      <w:r>
        <w:rPr>
          <w:rFonts w:hint="eastAsia" w:ascii="仿宋" w:hAnsi="仿宋" w:eastAsia="仿宋" w:cs="仿宋"/>
          <w:color w:val="000000" w:themeColor="text1"/>
          <w:spacing w:val="11"/>
          <w:w w:val="95"/>
          <w:sz w:val="32"/>
          <w:highlight w:val="none"/>
          <w14:textFill>
            <w14:solidFill>
              <w14:schemeClr w14:val="tx1"/>
            </w14:solidFill>
          </w14:textFill>
        </w:rPr>
        <w:t>，反映文艺工作者的情况和要</w:t>
      </w:r>
      <w:r>
        <w:rPr>
          <w:rFonts w:hint="eastAsia" w:ascii="仿宋" w:hAnsi="仿宋" w:eastAsia="仿宋" w:cs="仿宋"/>
          <w:color w:val="000000" w:themeColor="text1"/>
          <w:spacing w:val="11"/>
          <w:sz w:val="32"/>
          <w:highlight w:val="none"/>
          <w14:textFill>
            <w14:solidFill>
              <w14:schemeClr w14:val="tx1"/>
            </w14:solidFill>
          </w14:textFill>
        </w:rPr>
        <w:t>求，维护文艺工作者的合法权益。</w:t>
      </w:r>
    </w:p>
    <w:p>
      <w:pPr>
        <w:pStyle w:val="17"/>
        <w:numPr>
          <w:ilvl w:val="0"/>
          <w:numId w:val="5"/>
        </w:numPr>
        <w:tabs>
          <w:tab w:val="left" w:pos="1580"/>
        </w:tabs>
        <w:spacing w:before="3" w:line="364" w:lineRule="auto"/>
        <w:ind w:firstLine="640"/>
        <w:rPr>
          <w:rFonts w:ascii="仿宋" w:hAnsi="仿宋" w:eastAsia="仿宋" w:cs="仿宋"/>
          <w:color w:val="000000" w:themeColor="text1"/>
          <w:sz w:val="32"/>
          <w:highlight w:val="none"/>
          <w14:textFill>
            <w14:solidFill>
              <w14:schemeClr w14:val="tx1"/>
            </w14:solidFill>
          </w14:textFill>
        </w:rPr>
      </w:pPr>
      <w:r>
        <w:rPr>
          <w:rFonts w:hint="eastAsia" w:ascii="仿宋" w:hAnsi="仿宋" w:eastAsia="仿宋" w:cs="仿宋"/>
          <w:color w:val="000000" w:themeColor="text1"/>
          <w:spacing w:val="6"/>
          <w:w w:val="95"/>
          <w:sz w:val="32"/>
          <w:highlight w:val="none"/>
          <w14:textFill>
            <w14:solidFill>
              <w14:schemeClr w14:val="tx1"/>
            </w14:solidFill>
          </w14:textFill>
        </w:rPr>
        <w:t xml:space="preserve">指导各协会开展人才培训和调研工作，总结交流 </w:t>
      </w:r>
      <w:r>
        <w:rPr>
          <w:rFonts w:hint="eastAsia" w:ascii="仿宋" w:hAnsi="仿宋" w:eastAsia="仿宋" w:cs="仿宋"/>
          <w:color w:val="000000" w:themeColor="text1"/>
          <w:spacing w:val="11"/>
          <w:w w:val="95"/>
          <w:sz w:val="32"/>
          <w:highlight w:val="none"/>
          <w14:textFill>
            <w14:solidFill>
              <w14:schemeClr w14:val="tx1"/>
            </w14:solidFill>
          </w14:textFill>
        </w:rPr>
        <w:t>创作经验，开展文艺评奖、表彰、纪念活动，协同有关部门有重点地组织创作、展出，</w:t>
      </w:r>
      <w:r>
        <w:rPr>
          <w:rFonts w:hint="eastAsia" w:ascii="仿宋" w:hAnsi="仿宋" w:eastAsia="仿宋" w:cs="仿宋"/>
          <w:color w:val="000000" w:themeColor="text1"/>
          <w:spacing w:val="11"/>
          <w:w w:val="95"/>
          <w:sz w:val="32"/>
          <w:highlight w:val="none"/>
          <w:lang w:eastAsia="zh-CN"/>
          <w14:textFill>
            <w14:solidFill>
              <w14:schemeClr w14:val="tx1"/>
            </w14:solidFill>
          </w14:textFill>
        </w:rPr>
        <w:t>演出，</w:t>
      </w:r>
      <w:r>
        <w:rPr>
          <w:rFonts w:hint="eastAsia" w:ascii="仿宋" w:hAnsi="仿宋" w:eastAsia="仿宋" w:cs="仿宋"/>
          <w:color w:val="000000" w:themeColor="text1"/>
          <w:spacing w:val="11"/>
          <w:w w:val="95"/>
          <w:sz w:val="32"/>
          <w:highlight w:val="none"/>
          <w14:textFill>
            <w14:solidFill>
              <w14:schemeClr w14:val="tx1"/>
            </w14:solidFill>
          </w14:textFill>
        </w:rPr>
        <w:t>力求出作品、出精品、</w:t>
      </w:r>
      <w:r>
        <w:rPr>
          <w:rFonts w:hint="eastAsia" w:ascii="仿宋" w:hAnsi="仿宋" w:eastAsia="仿宋" w:cs="仿宋"/>
          <w:color w:val="000000" w:themeColor="text1"/>
          <w:spacing w:val="11"/>
          <w:sz w:val="32"/>
          <w:highlight w:val="none"/>
          <w14:textFill>
            <w14:solidFill>
              <w14:schemeClr w14:val="tx1"/>
            </w14:solidFill>
          </w14:textFill>
        </w:rPr>
        <w:t>出人才。</w:t>
      </w:r>
    </w:p>
    <w:p>
      <w:pPr>
        <w:pStyle w:val="17"/>
        <w:numPr>
          <w:ilvl w:val="0"/>
          <w:numId w:val="5"/>
        </w:numPr>
        <w:tabs>
          <w:tab w:val="left" w:pos="1580"/>
        </w:tabs>
        <w:spacing w:before="4" w:line="364" w:lineRule="auto"/>
        <w:ind w:firstLine="629"/>
        <w:rPr>
          <w:rFonts w:ascii="仿宋" w:hAnsi="仿宋" w:eastAsia="仿宋" w:cs="仿宋"/>
          <w:color w:val="000000" w:themeColor="text1"/>
          <w:spacing w:val="6"/>
          <w:w w:val="95"/>
          <w:sz w:val="32"/>
          <w:highlight w:val="none"/>
          <w14:textFill>
            <w14:solidFill>
              <w14:schemeClr w14:val="tx1"/>
            </w14:solidFill>
          </w14:textFill>
        </w:rPr>
      </w:pPr>
      <w:r>
        <w:rPr>
          <w:rFonts w:hint="eastAsia" w:ascii="仿宋" w:hAnsi="仿宋" w:eastAsia="仿宋" w:cs="仿宋"/>
          <w:color w:val="000000" w:themeColor="text1"/>
          <w:spacing w:val="6"/>
          <w:w w:val="95"/>
          <w:sz w:val="32"/>
          <w:highlight w:val="none"/>
          <w14:textFill>
            <w14:solidFill>
              <w14:schemeClr w14:val="tx1"/>
            </w14:solidFill>
          </w14:textFill>
        </w:rPr>
        <w:t>组织召开省文联和我省各文艺家协会代表大会、</w:t>
      </w:r>
      <w:r>
        <w:rPr>
          <w:rFonts w:hint="eastAsia" w:ascii="仿宋" w:hAnsi="仿宋" w:eastAsia="仿宋" w:cs="仿宋"/>
          <w:color w:val="000000" w:themeColor="text1"/>
          <w:spacing w:val="6"/>
          <w:w w:val="95"/>
          <w:sz w:val="32"/>
          <w:highlight w:val="none"/>
          <w:lang w:eastAsia="zh-CN"/>
          <w14:textFill>
            <w14:solidFill>
              <w14:schemeClr w14:val="tx1"/>
            </w14:solidFill>
          </w14:textFill>
        </w:rPr>
        <w:t>全委会、</w:t>
      </w:r>
      <w:r>
        <w:rPr>
          <w:rFonts w:hint="eastAsia" w:ascii="仿宋" w:hAnsi="仿宋" w:eastAsia="仿宋" w:cs="仿宋"/>
          <w:color w:val="000000" w:themeColor="text1"/>
          <w:spacing w:val="6"/>
          <w:w w:val="95"/>
          <w:sz w:val="32"/>
          <w:highlight w:val="none"/>
          <w14:textFill>
            <w14:solidFill>
              <w14:schemeClr w14:val="tx1"/>
            </w14:solidFill>
          </w14:textFill>
        </w:rPr>
        <w:t xml:space="preserve"> </w:t>
      </w:r>
      <w:r>
        <w:rPr>
          <w:rFonts w:hint="eastAsia" w:ascii="仿宋" w:hAnsi="仿宋" w:eastAsia="仿宋" w:cs="仿宋"/>
          <w:color w:val="000000" w:themeColor="text1"/>
          <w:spacing w:val="11"/>
          <w:w w:val="95"/>
          <w:sz w:val="32"/>
          <w:highlight w:val="none"/>
          <w14:textFill>
            <w14:solidFill>
              <w14:schemeClr w14:val="tx1"/>
            </w14:solidFill>
          </w14:textFill>
        </w:rPr>
        <w:t>理事会和主席团会议。组织召开省文联</w:t>
      </w:r>
      <w:r>
        <w:rPr>
          <w:rFonts w:hint="eastAsia" w:ascii="仿宋" w:hAnsi="仿宋" w:eastAsia="仿宋" w:cs="仿宋"/>
          <w:color w:val="000000" w:themeColor="text1"/>
          <w:spacing w:val="11"/>
          <w:w w:val="95"/>
          <w:sz w:val="32"/>
          <w:highlight w:val="none"/>
          <w:lang w:eastAsia="zh-CN"/>
          <w14:textFill>
            <w14:solidFill>
              <w14:schemeClr w14:val="tx1"/>
            </w14:solidFill>
          </w14:textFill>
        </w:rPr>
        <w:t>系统</w:t>
      </w:r>
      <w:r>
        <w:rPr>
          <w:rFonts w:hint="eastAsia" w:ascii="仿宋" w:hAnsi="仿宋" w:eastAsia="仿宋" w:cs="仿宋"/>
          <w:color w:val="000000" w:themeColor="text1"/>
          <w:spacing w:val="11"/>
          <w:w w:val="95"/>
          <w:sz w:val="32"/>
          <w:highlight w:val="none"/>
          <w14:textFill>
            <w14:solidFill>
              <w14:schemeClr w14:val="tx1"/>
            </w14:solidFill>
          </w14:textFill>
        </w:rPr>
        <w:t>的工作和研讨</w:t>
      </w:r>
      <w:r>
        <w:rPr>
          <w:rFonts w:hint="eastAsia" w:ascii="仿宋" w:hAnsi="仿宋" w:eastAsia="仿宋" w:cs="仿宋"/>
          <w:color w:val="000000" w:themeColor="text1"/>
          <w:spacing w:val="11"/>
          <w:sz w:val="32"/>
          <w:highlight w:val="none"/>
          <w14:textFill>
            <w14:solidFill>
              <w14:schemeClr w14:val="tx1"/>
            </w14:solidFill>
          </w14:textFill>
        </w:rPr>
        <w:t>会议。</w:t>
      </w:r>
    </w:p>
    <w:p>
      <w:pPr>
        <w:numPr>
          <w:ilvl w:val="0"/>
          <w:numId w:val="6"/>
        </w:numPr>
        <w:ind w:firstLine="632" w:firstLineChars="200"/>
        <w:rPr>
          <w:rFonts w:ascii="仿宋" w:hAnsi="仿宋" w:eastAsia="仿宋" w:cs="仿宋"/>
          <w:color w:val="000000" w:themeColor="text1"/>
          <w:spacing w:val="11"/>
          <w:sz w:val="32"/>
          <w:highlight w:val="none"/>
          <w14:textFill>
            <w14:solidFill>
              <w14:schemeClr w14:val="tx1"/>
            </w14:solidFill>
          </w14:textFill>
        </w:rPr>
      </w:pPr>
      <w:r>
        <w:rPr>
          <w:rFonts w:hint="eastAsia" w:ascii="仿宋" w:hAnsi="仿宋" w:eastAsia="仿宋" w:cs="仿宋"/>
          <w:color w:val="000000" w:themeColor="text1"/>
          <w:spacing w:val="6"/>
          <w:w w:val="95"/>
          <w:sz w:val="32"/>
          <w:highlight w:val="none"/>
          <w14:textFill>
            <w14:solidFill>
              <w14:schemeClr w14:val="tx1"/>
            </w14:solidFill>
          </w14:textFill>
        </w:rPr>
        <w:t>加强同全国各省及</w:t>
      </w:r>
      <w:r>
        <w:rPr>
          <w:rFonts w:hint="eastAsia" w:ascii="仿宋" w:hAnsi="仿宋" w:eastAsia="仿宋" w:cs="仿宋"/>
          <w:color w:val="000000" w:themeColor="text1"/>
          <w:spacing w:val="6"/>
          <w:w w:val="95"/>
          <w:sz w:val="32"/>
          <w:highlight w:val="none"/>
          <w:lang w:eastAsia="zh-CN"/>
          <w14:textFill>
            <w14:solidFill>
              <w14:schemeClr w14:val="tx1"/>
            </w14:solidFill>
          </w14:textFill>
        </w:rPr>
        <w:t>各</w:t>
      </w:r>
      <w:r>
        <w:rPr>
          <w:rFonts w:hint="eastAsia" w:ascii="仿宋" w:hAnsi="仿宋" w:eastAsia="仿宋" w:cs="仿宋"/>
          <w:color w:val="000000" w:themeColor="text1"/>
          <w:spacing w:val="6"/>
          <w:w w:val="95"/>
          <w:sz w:val="32"/>
          <w:highlight w:val="none"/>
          <w14:textFill>
            <w14:solidFill>
              <w14:schemeClr w14:val="tx1"/>
            </w14:solidFill>
          </w14:textFill>
        </w:rPr>
        <w:t>行业文联、文艺家协会的交流</w:t>
      </w:r>
      <w:r>
        <w:rPr>
          <w:rFonts w:hint="eastAsia" w:ascii="仿宋" w:hAnsi="仿宋" w:eastAsia="仿宋" w:cs="仿宋"/>
          <w:color w:val="000000" w:themeColor="text1"/>
          <w:spacing w:val="11"/>
          <w:w w:val="95"/>
          <w:sz w:val="32"/>
          <w:highlight w:val="none"/>
          <w14:textFill>
            <w14:solidFill>
              <w14:schemeClr w14:val="tx1"/>
            </w14:solidFill>
          </w14:textFill>
        </w:rPr>
        <w:t>与协作，加强同港澳台及海外文艺界人士和文学艺术团体</w:t>
      </w:r>
      <w:r>
        <w:rPr>
          <w:rFonts w:hint="eastAsia" w:ascii="仿宋" w:hAnsi="仿宋" w:eastAsia="仿宋" w:cs="仿宋"/>
          <w:color w:val="000000" w:themeColor="text1"/>
          <w:spacing w:val="11"/>
          <w:sz w:val="32"/>
          <w:highlight w:val="none"/>
          <w14:textFill>
            <w14:solidFill>
              <w14:schemeClr w14:val="tx1"/>
            </w14:solidFill>
          </w14:textFill>
        </w:rPr>
        <w:t>的联系，增进友谊，开展国际文化交流活动。</w:t>
      </w:r>
    </w:p>
    <w:p>
      <w:pPr>
        <w:numPr>
          <w:ilvl w:val="0"/>
          <w:numId w:val="6"/>
        </w:numPr>
        <w:ind w:firstLine="632" w:firstLineChars="200"/>
        <w:rPr>
          <w:rFonts w:ascii="仿宋" w:hAnsi="仿宋" w:eastAsia="仿宋" w:cs="仿宋"/>
          <w:color w:val="000000" w:themeColor="text1"/>
          <w:spacing w:val="6"/>
          <w:sz w:val="32"/>
          <w:highlight w:val="none"/>
          <w14:textFill>
            <w14:solidFill>
              <w14:schemeClr w14:val="tx1"/>
            </w14:solidFill>
          </w14:textFill>
        </w:rPr>
      </w:pPr>
      <w:r>
        <w:rPr>
          <w:rFonts w:hint="eastAsia" w:ascii="仿宋" w:hAnsi="仿宋" w:eastAsia="仿宋" w:cs="仿宋"/>
          <w:color w:val="000000" w:themeColor="text1"/>
          <w:spacing w:val="6"/>
          <w:w w:val="95"/>
          <w:sz w:val="32"/>
          <w:highlight w:val="none"/>
          <w14:textFill>
            <w14:solidFill>
              <w14:schemeClr w14:val="tx1"/>
            </w14:solidFill>
          </w14:textFill>
        </w:rPr>
        <w:t>负责对团体会员的服务工作</w:t>
      </w:r>
      <w:r>
        <w:rPr>
          <w:rFonts w:hint="eastAsia" w:ascii="仿宋" w:hAnsi="仿宋" w:eastAsia="仿宋" w:cs="仿宋"/>
          <w:color w:val="000000" w:themeColor="text1"/>
          <w:spacing w:val="6"/>
          <w:w w:val="95"/>
          <w:sz w:val="32"/>
          <w:highlight w:val="none"/>
          <w:lang w:eastAsia="zh-CN"/>
          <w14:textFill>
            <w14:solidFill>
              <w14:schemeClr w14:val="tx1"/>
            </w14:solidFill>
          </w14:textFill>
        </w:rPr>
        <w:t>；</w:t>
      </w:r>
      <w:r>
        <w:rPr>
          <w:rFonts w:hint="eastAsia" w:ascii="仿宋" w:hAnsi="仿宋" w:eastAsia="仿宋" w:cs="仿宋"/>
          <w:color w:val="000000" w:themeColor="text1"/>
          <w:spacing w:val="6"/>
          <w:w w:val="95"/>
          <w:sz w:val="32"/>
          <w:highlight w:val="none"/>
          <w14:textFill>
            <w14:solidFill>
              <w14:schemeClr w14:val="tx1"/>
            </w14:solidFill>
          </w14:textFill>
        </w:rPr>
        <w:t>帮助各团体会员改</w:t>
      </w:r>
      <w:r>
        <w:rPr>
          <w:rFonts w:hint="eastAsia" w:ascii="仿宋" w:hAnsi="仿宋" w:eastAsia="仿宋" w:cs="仿宋"/>
          <w:color w:val="000000" w:themeColor="text1"/>
          <w:spacing w:val="6"/>
          <w:sz w:val="32"/>
          <w:highlight w:val="none"/>
          <w14:textFill>
            <w14:solidFill>
              <w14:schemeClr w14:val="tx1"/>
            </w14:solidFill>
          </w14:textFill>
        </w:rPr>
        <w:t>善文艺家的工作条件。</w:t>
      </w:r>
    </w:p>
    <w:p>
      <w:pPr>
        <w:numPr>
          <w:ilvl w:val="0"/>
          <w:numId w:val="6"/>
        </w:numPr>
        <w:ind w:firstLine="664" w:firstLineChars="200"/>
        <w:rPr>
          <w:rFonts w:ascii="仿宋" w:hAnsi="仿宋" w:eastAsia="仿宋" w:cs="仿宋"/>
          <w:color w:val="000000" w:themeColor="text1"/>
          <w:spacing w:val="6"/>
          <w:sz w:val="32"/>
          <w:highlight w:val="none"/>
          <w14:textFill>
            <w14:solidFill>
              <w14:schemeClr w14:val="tx1"/>
            </w14:solidFill>
          </w14:textFill>
        </w:rPr>
      </w:pPr>
      <w:r>
        <w:rPr>
          <w:rFonts w:hint="eastAsia" w:ascii="仿宋" w:hAnsi="仿宋" w:eastAsia="仿宋" w:cs="仿宋"/>
          <w:color w:val="000000" w:themeColor="text1"/>
          <w:spacing w:val="6"/>
          <w:sz w:val="32"/>
          <w:highlight w:val="none"/>
          <w:lang w:eastAsia="zh-CN"/>
          <w14:textFill>
            <w14:solidFill>
              <w14:schemeClr w14:val="tx1"/>
            </w14:solidFill>
          </w14:textFill>
        </w:rPr>
        <w:t>承担省委、省政府和上级文联交办的其他工作。</w:t>
      </w:r>
    </w:p>
    <w:p>
      <w:pPr>
        <w:pStyle w:val="25"/>
        <w:numPr>
          <w:ilvl w:val="0"/>
          <w:numId w:val="0"/>
        </w:numPr>
        <w:ind w:leftChars="0" w:firstLine="640" w:firstLineChars="200"/>
        <w:jc w:val="left"/>
        <w:rPr>
          <w:rFonts w:ascii="黑体" w:hAnsi="黑体" w:eastAsia="黑体" w:cs="仿宋_GB2312"/>
          <w:sz w:val="32"/>
          <w:szCs w:val="32"/>
          <w:highlight w:val="none"/>
        </w:rPr>
      </w:pPr>
      <w:r>
        <w:rPr>
          <w:rFonts w:hint="eastAsia" w:ascii="黑体" w:hAnsi="黑体" w:eastAsia="黑体" w:cs="仿宋_GB2312"/>
          <w:sz w:val="32"/>
          <w:szCs w:val="32"/>
          <w:highlight w:val="none"/>
          <w:lang w:eastAsia="zh-CN"/>
        </w:rPr>
        <w:t>二、</w:t>
      </w:r>
      <w:r>
        <w:rPr>
          <w:rFonts w:hint="eastAsia" w:ascii="黑体" w:hAnsi="黑体" w:eastAsia="黑体" w:cs="仿宋_GB2312"/>
          <w:sz w:val="32"/>
          <w:szCs w:val="32"/>
          <w:highlight w:val="none"/>
        </w:rPr>
        <w:t>部门预算单位构成</w:t>
      </w:r>
    </w:p>
    <w:p>
      <w:pPr>
        <w:ind w:firstLine="800" w:firstLineChars="250"/>
        <w:jc w:val="left"/>
        <w:rPr>
          <w:rFonts w:hint="eastAsia" w:ascii="仿宋" w:hAnsi="仿宋" w:eastAsia="仿宋" w:cs="仿宋"/>
          <w:sz w:val="32"/>
          <w:szCs w:val="32"/>
          <w:highlight w:val="none"/>
        </w:rPr>
      </w:pPr>
      <w:r>
        <w:rPr>
          <w:rFonts w:hint="eastAsia" w:ascii="仿宋" w:hAnsi="仿宋" w:eastAsia="仿宋" w:cs="仿宋"/>
          <w:sz w:val="32"/>
          <w:szCs w:val="32"/>
          <w:highlight w:val="none"/>
        </w:rPr>
        <w:t>纳入</w:t>
      </w:r>
      <w:r>
        <w:rPr>
          <w:rFonts w:hint="eastAsia" w:ascii="仿宋" w:hAnsi="仿宋" w:eastAsia="仿宋" w:cs="仿宋"/>
          <w:sz w:val="32"/>
          <w:szCs w:val="32"/>
          <w:highlight w:val="none"/>
          <w:lang w:eastAsia="zh-CN"/>
        </w:rPr>
        <w:t>海南省文联部门</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rPr>
        <w:t>年部门预算编制范围的二级预算单位包括：</w:t>
      </w:r>
    </w:p>
    <w:p>
      <w:pPr>
        <w:pStyle w:val="25"/>
        <w:numPr>
          <w:ilvl w:val="0"/>
          <w:numId w:val="7"/>
        </w:numPr>
        <w:ind w:firstLineChars="0"/>
        <w:jc w:val="left"/>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海南省文联本级</w:t>
      </w:r>
    </w:p>
    <w:p>
      <w:pPr>
        <w:pStyle w:val="25"/>
        <w:numPr>
          <w:ilvl w:val="0"/>
          <w:numId w:val="7"/>
        </w:numPr>
        <w:ind w:firstLineChars="0"/>
        <w:jc w:val="left"/>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海南省书画院</w:t>
      </w:r>
    </w:p>
    <w:p>
      <w:pPr>
        <w:ind w:firstLine="640" w:firstLineChars="200"/>
        <w:rPr>
          <w:rFonts w:ascii="黑体" w:hAnsi="黑体" w:eastAsia="黑体"/>
          <w:sz w:val="32"/>
          <w:szCs w:val="32"/>
          <w:highlight w:val="none"/>
        </w:rPr>
      </w:pPr>
      <w:r>
        <w:rPr>
          <w:rFonts w:hint="eastAsia" w:ascii="黑体" w:hAnsi="黑体" w:eastAsia="黑体"/>
          <w:sz w:val="32"/>
          <w:szCs w:val="32"/>
          <w:highlight w:val="none"/>
        </w:rPr>
        <w:t xml:space="preserve">第二部分 </w:t>
      </w:r>
      <w:r>
        <w:rPr>
          <w:rFonts w:hint="eastAsia" w:ascii="仿宋_GB2312" w:hAnsi="黑体" w:eastAsia="仿宋_GB2312" w:cs="仿宋_GB2312"/>
          <w:sz w:val="32"/>
          <w:szCs w:val="32"/>
          <w:highlight w:val="none"/>
        </w:rPr>
        <w:t xml:space="preserve"> </w:t>
      </w:r>
      <w:r>
        <w:rPr>
          <w:rFonts w:hint="eastAsia" w:ascii="黑体" w:hAnsi="黑体" w:eastAsia="黑体"/>
          <w:sz w:val="32"/>
          <w:szCs w:val="32"/>
          <w:highlight w:val="none"/>
          <w:lang w:eastAsia="zh-CN"/>
        </w:rPr>
        <w:t>海南文联部门</w:t>
      </w:r>
      <w:r>
        <w:rPr>
          <w:rFonts w:hint="eastAsia" w:ascii="黑体" w:hAnsi="黑体" w:eastAsia="黑体"/>
          <w:sz w:val="32"/>
          <w:szCs w:val="32"/>
          <w:highlight w:val="none"/>
          <w:lang w:val="en-US" w:eastAsia="zh-CN"/>
        </w:rPr>
        <w:t>2023</w:t>
      </w:r>
      <w:r>
        <w:rPr>
          <w:rFonts w:hint="eastAsia" w:ascii="黑体" w:hAnsi="黑体" w:eastAsia="黑体"/>
          <w:sz w:val="32"/>
          <w:szCs w:val="32"/>
          <w:highlight w:val="none"/>
        </w:rPr>
        <w:t>年部门（单位）预算表</w:t>
      </w:r>
    </w:p>
    <w:p>
      <w:pPr>
        <w:ind w:left="800"/>
        <w:jc w:val="center"/>
        <w:rPr>
          <w:rFonts w:ascii="黑体" w:hAnsi="黑体" w:eastAsia="黑体"/>
          <w:sz w:val="32"/>
          <w:szCs w:val="32"/>
          <w:highlight w:val="none"/>
        </w:rPr>
      </w:pPr>
      <w:r>
        <w:rPr>
          <w:rFonts w:hint="eastAsia" w:ascii="仿宋_GB2312" w:hAnsi="黑体" w:eastAsia="仿宋_GB2312"/>
          <w:b/>
          <w:sz w:val="32"/>
          <w:szCs w:val="32"/>
          <w:highlight w:val="none"/>
        </w:rPr>
        <w:t>（此部分内容即</w:t>
      </w:r>
      <w:r>
        <w:rPr>
          <w:rFonts w:hint="eastAsia" w:ascii="仿宋_GB2312" w:hAnsi="黑体" w:eastAsia="仿宋_GB2312"/>
          <w:b/>
          <w:sz w:val="32"/>
          <w:szCs w:val="32"/>
          <w:highlight w:val="none"/>
          <w:lang w:eastAsia="zh-CN"/>
        </w:rPr>
        <w:t>海南省文联部门</w:t>
      </w:r>
      <w:r>
        <w:rPr>
          <w:rFonts w:hint="eastAsia" w:ascii="仿宋_GB2312" w:hAnsi="黑体" w:eastAsia="仿宋_GB2312"/>
          <w:b/>
          <w:sz w:val="32"/>
          <w:szCs w:val="32"/>
          <w:highlight w:val="none"/>
        </w:rPr>
        <w:t>预算公开表）</w:t>
      </w:r>
    </w:p>
    <w:p>
      <w:pPr>
        <w:ind w:firstLine="480" w:firstLineChars="150"/>
        <w:rPr>
          <w:rFonts w:ascii="黑体" w:hAnsi="黑体" w:eastAsia="黑体"/>
          <w:sz w:val="32"/>
          <w:szCs w:val="32"/>
          <w:highlight w:val="none"/>
        </w:rPr>
      </w:pPr>
      <w:r>
        <w:rPr>
          <w:rFonts w:hint="eastAsia" w:ascii="黑体" w:hAnsi="黑体" w:eastAsia="黑体"/>
          <w:sz w:val="32"/>
          <w:szCs w:val="32"/>
          <w:highlight w:val="none"/>
        </w:rPr>
        <w:t xml:space="preserve">第三部分   </w:t>
      </w:r>
      <w:r>
        <w:rPr>
          <w:rFonts w:hint="eastAsia" w:ascii="黑体" w:hAnsi="黑体" w:eastAsia="黑体"/>
          <w:sz w:val="32"/>
          <w:szCs w:val="32"/>
          <w:highlight w:val="none"/>
          <w:lang w:eastAsia="zh-CN"/>
        </w:rPr>
        <w:t>海南文联部门</w:t>
      </w:r>
      <w:r>
        <w:rPr>
          <w:rFonts w:hint="eastAsia" w:ascii="黑体" w:hAnsi="黑体" w:eastAsia="黑体"/>
          <w:sz w:val="32"/>
          <w:szCs w:val="32"/>
          <w:highlight w:val="none"/>
          <w:lang w:val="en-US" w:eastAsia="zh-CN"/>
        </w:rPr>
        <w:t>2023</w:t>
      </w:r>
      <w:r>
        <w:rPr>
          <w:rFonts w:hint="eastAsia" w:ascii="黑体" w:hAnsi="黑体" w:eastAsia="黑体"/>
          <w:sz w:val="32"/>
          <w:szCs w:val="32"/>
          <w:highlight w:val="none"/>
        </w:rPr>
        <w:t>年部门预算情况说明</w:t>
      </w:r>
    </w:p>
    <w:p>
      <w:pPr>
        <w:ind w:firstLine="640" w:firstLineChars="200"/>
        <w:jc w:val="left"/>
        <w:rPr>
          <w:rFonts w:ascii="黑体" w:hAnsi="黑体" w:eastAsia="黑体"/>
          <w:sz w:val="32"/>
          <w:szCs w:val="32"/>
          <w:highlight w:val="none"/>
        </w:rPr>
      </w:pPr>
      <w:r>
        <w:rPr>
          <w:rFonts w:hint="eastAsia" w:ascii="黑体" w:hAnsi="黑体" w:eastAsia="黑体"/>
          <w:sz w:val="32"/>
          <w:szCs w:val="32"/>
          <w:highlight w:val="none"/>
        </w:rPr>
        <w:t>一、关于</w:t>
      </w:r>
      <w:r>
        <w:rPr>
          <w:rFonts w:hint="eastAsia" w:ascii="黑体" w:hAnsi="黑体" w:eastAsia="黑体"/>
          <w:sz w:val="32"/>
          <w:szCs w:val="32"/>
          <w:highlight w:val="none"/>
          <w:lang w:eastAsia="zh-CN"/>
        </w:rPr>
        <w:t>海南文联部门</w:t>
      </w:r>
      <w:r>
        <w:rPr>
          <w:rFonts w:hint="eastAsia" w:ascii="黑体" w:hAnsi="黑体" w:eastAsia="黑体"/>
          <w:sz w:val="32"/>
          <w:szCs w:val="32"/>
          <w:highlight w:val="none"/>
          <w:lang w:val="en-US" w:eastAsia="zh-CN"/>
        </w:rPr>
        <w:t>2023</w:t>
      </w:r>
      <w:r>
        <w:rPr>
          <w:rFonts w:hint="eastAsia" w:ascii="黑体" w:hAnsi="黑体" w:eastAsia="黑体"/>
          <w:sz w:val="32"/>
          <w:szCs w:val="32"/>
          <w:highlight w:val="none"/>
        </w:rPr>
        <w:t>年财政拨款收支预算情况的总体说明</w:t>
      </w:r>
    </w:p>
    <w:p>
      <w:pPr>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海南省文联</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rPr>
        <w:t>年财政拨款收支总预算</w:t>
      </w:r>
      <w:r>
        <w:rPr>
          <w:rFonts w:hint="eastAsia" w:ascii="仿宋" w:hAnsi="仿宋" w:eastAsia="仿宋" w:cs="仿宋"/>
          <w:color w:val="auto"/>
          <w:sz w:val="32"/>
          <w:szCs w:val="32"/>
          <w:highlight w:val="none"/>
        </w:rPr>
        <w:t>1569.88</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u w:val="none"/>
        </w:rPr>
        <w:t>比上年预算数</w:t>
      </w:r>
      <w:r>
        <w:rPr>
          <w:rFonts w:hint="eastAsia" w:ascii="仿宋" w:hAnsi="仿宋" w:eastAsia="仿宋" w:cs="仿宋"/>
          <w:sz w:val="32"/>
          <w:szCs w:val="32"/>
          <w:highlight w:val="none"/>
          <w:u w:val="none"/>
          <w:lang w:eastAsia="zh-CN"/>
        </w:rPr>
        <w:t>减少</w:t>
      </w:r>
      <w:r>
        <w:rPr>
          <w:rFonts w:hint="eastAsia" w:ascii="仿宋" w:hAnsi="仿宋" w:eastAsia="仿宋" w:cs="仿宋"/>
          <w:sz w:val="32"/>
          <w:szCs w:val="32"/>
          <w:highlight w:val="none"/>
          <w:u w:val="none"/>
          <w:lang w:val="en-US" w:eastAsia="zh-CN"/>
        </w:rPr>
        <w:t>789.98</w:t>
      </w:r>
      <w:r>
        <w:rPr>
          <w:rFonts w:hint="eastAsia" w:ascii="仿宋" w:hAnsi="仿宋" w:eastAsia="仿宋" w:cs="仿宋"/>
          <w:sz w:val="32"/>
          <w:szCs w:val="32"/>
          <w:highlight w:val="none"/>
          <w:u w:val="none"/>
        </w:rPr>
        <w:t>万元，</w:t>
      </w:r>
      <w:r>
        <w:rPr>
          <w:rFonts w:hint="eastAsia" w:ascii="仿宋" w:hAnsi="仿宋" w:eastAsia="仿宋" w:cs="仿宋"/>
          <w:sz w:val="32"/>
          <w:szCs w:val="32"/>
          <w:highlight w:val="none"/>
          <w:u w:val="none"/>
          <w:lang w:eastAsia="zh-CN"/>
        </w:rPr>
        <w:t>主要因为</w:t>
      </w:r>
      <w:r>
        <w:rPr>
          <w:rFonts w:hint="eastAsia" w:ascii="仿宋" w:hAnsi="仿宋" w:eastAsia="仿宋" w:cs="仿宋"/>
          <w:sz w:val="32"/>
          <w:szCs w:val="32"/>
          <w:highlight w:val="none"/>
          <w:u w:val="none"/>
          <w:lang w:val="en-US" w:eastAsia="zh-CN"/>
        </w:rPr>
        <w:t>2023年全省财力紧张，除保障“三保”支出，统筹分配至各部门的项目支出预算数较往年大幅减少。</w:t>
      </w:r>
      <w:r>
        <w:rPr>
          <w:rFonts w:hint="eastAsia" w:ascii="仿宋" w:hAnsi="仿宋" w:eastAsia="仿宋" w:cs="仿宋"/>
          <w:sz w:val="32"/>
          <w:szCs w:val="32"/>
          <w:highlight w:val="none"/>
          <w:u w:val="none"/>
        </w:rPr>
        <w:t>其中，收入总计</w:t>
      </w:r>
      <w:r>
        <w:rPr>
          <w:rFonts w:hint="eastAsia" w:ascii="仿宋" w:hAnsi="仿宋" w:eastAsia="仿宋" w:cs="仿宋"/>
          <w:sz w:val="32"/>
          <w:szCs w:val="32"/>
          <w:highlight w:val="none"/>
        </w:rPr>
        <w:t>1569.88</w:t>
      </w:r>
      <w:r>
        <w:rPr>
          <w:rFonts w:hint="eastAsia" w:ascii="仿宋" w:hAnsi="仿宋" w:eastAsia="仿宋" w:cs="仿宋"/>
          <w:sz w:val="32"/>
          <w:szCs w:val="32"/>
          <w:highlight w:val="none"/>
          <w:u w:val="none"/>
        </w:rPr>
        <w:t>万元，包括一般公共预算</w:t>
      </w:r>
      <w:r>
        <w:rPr>
          <w:rFonts w:hint="eastAsia" w:ascii="仿宋" w:hAnsi="仿宋" w:eastAsia="仿宋" w:cs="仿宋"/>
          <w:sz w:val="32"/>
          <w:szCs w:val="32"/>
          <w:highlight w:val="none"/>
          <w:u w:val="none"/>
          <w:lang w:eastAsia="zh-CN"/>
        </w:rPr>
        <w:t>资金</w:t>
      </w:r>
      <w:r>
        <w:rPr>
          <w:rFonts w:hint="eastAsia" w:ascii="仿宋" w:hAnsi="仿宋" w:eastAsia="仿宋" w:cs="仿宋"/>
          <w:sz w:val="32"/>
          <w:szCs w:val="32"/>
          <w:highlight w:val="none"/>
          <w:u w:val="none"/>
        </w:rPr>
        <w:t>本年收入</w:t>
      </w:r>
      <w:r>
        <w:rPr>
          <w:rFonts w:hint="eastAsia" w:ascii="仿宋" w:hAnsi="仿宋" w:eastAsia="仿宋" w:cs="仿宋"/>
          <w:sz w:val="32"/>
          <w:szCs w:val="32"/>
          <w:highlight w:val="none"/>
        </w:rPr>
        <w:t>1569.88万元、政府性基金预算本年收入</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万元、上年结转</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万元；支出总计1569.88万元，包括一般公共服务支出673.96万元、文化旅游体育与传媒支出</w:t>
      </w:r>
      <w:r>
        <w:rPr>
          <w:rFonts w:hint="eastAsia" w:ascii="仿宋" w:hAnsi="仿宋" w:eastAsia="仿宋" w:cs="仿宋"/>
          <w:sz w:val="32"/>
          <w:szCs w:val="32"/>
          <w:highlight w:val="none"/>
          <w:lang w:val="en-US" w:eastAsia="zh-CN"/>
        </w:rPr>
        <w:t>606.48</w:t>
      </w:r>
      <w:r>
        <w:rPr>
          <w:rFonts w:hint="eastAsia" w:ascii="仿宋" w:hAnsi="仿宋" w:eastAsia="仿宋" w:cs="仿宋"/>
          <w:sz w:val="32"/>
          <w:szCs w:val="32"/>
          <w:highlight w:val="none"/>
        </w:rPr>
        <w:t>万元、社会保障和就业支出</w:t>
      </w:r>
      <w:r>
        <w:rPr>
          <w:rFonts w:hint="eastAsia" w:ascii="仿宋" w:hAnsi="仿宋" w:eastAsia="仿宋" w:cs="仿宋"/>
          <w:sz w:val="32"/>
          <w:szCs w:val="32"/>
          <w:highlight w:val="none"/>
          <w:lang w:val="en-US" w:eastAsia="zh-CN"/>
        </w:rPr>
        <w:t>201.66万元</w:t>
      </w:r>
      <w:r>
        <w:rPr>
          <w:rFonts w:hint="eastAsia" w:ascii="仿宋" w:hAnsi="仿宋" w:eastAsia="仿宋" w:cs="仿宋"/>
          <w:sz w:val="32"/>
          <w:szCs w:val="32"/>
          <w:highlight w:val="none"/>
        </w:rPr>
        <w:t>，卫生健康支出</w:t>
      </w:r>
      <w:r>
        <w:rPr>
          <w:rFonts w:hint="eastAsia" w:ascii="仿宋" w:hAnsi="仿宋" w:eastAsia="仿宋" w:cs="仿宋"/>
          <w:sz w:val="32"/>
          <w:szCs w:val="32"/>
          <w:highlight w:val="none"/>
          <w:lang w:val="en-US" w:eastAsia="zh-CN"/>
        </w:rPr>
        <w:t>29.77万元、住房保障支出58.01万元、</w:t>
      </w:r>
      <w:r>
        <w:rPr>
          <w:rFonts w:hint="eastAsia" w:ascii="仿宋" w:hAnsi="仿宋" w:eastAsia="仿宋" w:cs="仿宋"/>
          <w:sz w:val="32"/>
          <w:szCs w:val="32"/>
          <w:highlight w:val="none"/>
        </w:rPr>
        <w:t>结转下年</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万元。</w:t>
      </w:r>
    </w:p>
    <w:p>
      <w:pPr>
        <w:ind w:firstLine="640"/>
        <w:jc w:val="left"/>
        <w:rPr>
          <w:rFonts w:ascii="黑体" w:hAnsi="黑体" w:eastAsia="黑体"/>
          <w:sz w:val="32"/>
          <w:szCs w:val="32"/>
          <w:highlight w:val="none"/>
        </w:rPr>
      </w:pPr>
      <w:r>
        <w:rPr>
          <w:rFonts w:hint="eastAsia" w:ascii="黑体" w:hAnsi="黑体" w:eastAsia="黑体"/>
          <w:sz w:val="32"/>
          <w:szCs w:val="32"/>
          <w:highlight w:val="none"/>
        </w:rPr>
        <w:t>二、关于</w:t>
      </w:r>
      <w:r>
        <w:rPr>
          <w:rFonts w:hint="eastAsia" w:ascii="黑体" w:hAnsi="黑体" w:eastAsia="黑体"/>
          <w:sz w:val="32"/>
          <w:szCs w:val="32"/>
          <w:highlight w:val="none"/>
          <w:lang w:eastAsia="zh-CN"/>
        </w:rPr>
        <w:t>海南省文联部门</w:t>
      </w:r>
      <w:r>
        <w:rPr>
          <w:rFonts w:hint="eastAsia" w:ascii="黑体" w:hAnsi="黑体" w:eastAsia="黑体"/>
          <w:sz w:val="32"/>
          <w:szCs w:val="32"/>
          <w:highlight w:val="none"/>
          <w:lang w:val="en-US" w:eastAsia="zh-CN"/>
        </w:rPr>
        <w:t>2023</w:t>
      </w:r>
      <w:r>
        <w:rPr>
          <w:rFonts w:hint="eastAsia" w:ascii="黑体" w:hAnsi="黑体" w:eastAsia="黑体"/>
          <w:sz w:val="32"/>
          <w:szCs w:val="32"/>
          <w:highlight w:val="none"/>
        </w:rPr>
        <w:t>年一般公共预算当年拨款情况说明</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（一）一般公共预算当年规模变化情况</w:t>
      </w:r>
    </w:p>
    <w:p>
      <w:pPr>
        <w:ind w:firstLine="640" w:firstLineChars="200"/>
        <w:rPr>
          <w:rFonts w:ascii="仿宋_GB2312" w:hAnsi="黑体" w:eastAsia="仿宋_GB2312"/>
          <w:sz w:val="32"/>
          <w:szCs w:val="32"/>
          <w:highlight w:val="none"/>
        </w:rPr>
      </w:pPr>
      <w:r>
        <w:rPr>
          <w:rFonts w:hint="eastAsia" w:ascii="仿宋" w:hAnsi="仿宋" w:eastAsia="仿宋" w:cs="仿宋"/>
          <w:sz w:val="32"/>
          <w:szCs w:val="32"/>
          <w:highlight w:val="none"/>
          <w:lang w:eastAsia="zh-CN"/>
        </w:rPr>
        <w:t>海南省文联部门</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年一般公共预算当年拨款1569.88万元，比上年预算数减少</w:t>
      </w:r>
      <w:r>
        <w:rPr>
          <w:rFonts w:hint="eastAsia" w:ascii="仿宋" w:hAnsi="仿宋" w:eastAsia="仿宋" w:cs="仿宋"/>
          <w:sz w:val="32"/>
          <w:szCs w:val="32"/>
          <w:highlight w:val="none"/>
          <w:lang w:val="en-US" w:eastAsia="zh-CN"/>
        </w:rPr>
        <w:t>789.98</w:t>
      </w:r>
      <w:r>
        <w:rPr>
          <w:rFonts w:hint="eastAsia" w:ascii="仿宋" w:hAnsi="仿宋" w:eastAsia="仿宋" w:cs="仿宋"/>
          <w:sz w:val="32"/>
          <w:szCs w:val="32"/>
          <w:highlight w:val="none"/>
          <w:lang w:eastAsia="zh-CN"/>
        </w:rPr>
        <w:t>万元，</w:t>
      </w:r>
      <w:r>
        <w:rPr>
          <w:rFonts w:hint="eastAsia" w:ascii="仿宋" w:hAnsi="仿宋" w:eastAsia="仿宋" w:cs="仿宋"/>
          <w:sz w:val="32"/>
          <w:szCs w:val="32"/>
          <w:highlight w:val="none"/>
          <w:u w:val="none"/>
          <w:lang w:eastAsia="zh-CN"/>
        </w:rPr>
        <w:t>主要因为</w:t>
      </w:r>
      <w:r>
        <w:rPr>
          <w:rFonts w:hint="eastAsia" w:ascii="仿宋" w:hAnsi="仿宋" w:eastAsia="仿宋" w:cs="仿宋"/>
          <w:sz w:val="32"/>
          <w:szCs w:val="32"/>
          <w:highlight w:val="none"/>
          <w:u w:val="none"/>
          <w:lang w:val="en-US" w:eastAsia="zh-CN"/>
        </w:rPr>
        <w:t>2023年全省财力紧张，除保障“三保”支出，统筹分配至各部门的项目支出预算数较往年大幅减少。</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（二）一般公共预算当年拨款结构情况</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一般公共服务支出673.96万元，占</w:t>
      </w:r>
      <w:r>
        <w:rPr>
          <w:rFonts w:hint="eastAsia" w:ascii="仿宋" w:hAnsi="仿宋" w:eastAsia="仿宋" w:cs="仿宋"/>
          <w:sz w:val="32"/>
          <w:szCs w:val="32"/>
          <w:highlight w:val="none"/>
          <w:lang w:val="en-US" w:eastAsia="zh-CN"/>
        </w:rPr>
        <w:t>42.93%；</w:t>
      </w:r>
      <w:r>
        <w:rPr>
          <w:rFonts w:hint="eastAsia" w:ascii="仿宋" w:hAnsi="仿宋" w:eastAsia="仿宋" w:cs="仿宋"/>
          <w:sz w:val="32"/>
          <w:szCs w:val="32"/>
          <w:highlight w:val="none"/>
          <w:lang w:eastAsia="zh-CN"/>
        </w:rPr>
        <w:t>文化旅游体育与传媒支出</w:t>
      </w:r>
      <w:r>
        <w:rPr>
          <w:rFonts w:hint="eastAsia" w:ascii="仿宋" w:hAnsi="仿宋" w:eastAsia="仿宋" w:cs="仿宋"/>
          <w:sz w:val="32"/>
          <w:szCs w:val="32"/>
          <w:highlight w:val="none"/>
          <w:lang w:val="en-US" w:eastAsia="zh-CN"/>
        </w:rPr>
        <w:t>606.48</w:t>
      </w:r>
      <w:r>
        <w:rPr>
          <w:rFonts w:hint="eastAsia" w:ascii="仿宋" w:hAnsi="仿宋" w:eastAsia="仿宋" w:cs="仿宋"/>
          <w:sz w:val="32"/>
          <w:szCs w:val="32"/>
          <w:highlight w:val="none"/>
          <w:lang w:eastAsia="zh-CN"/>
        </w:rPr>
        <w:t>万元，占</w:t>
      </w:r>
      <w:r>
        <w:rPr>
          <w:rFonts w:hint="eastAsia" w:ascii="仿宋" w:hAnsi="仿宋" w:eastAsia="仿宋" w:cs="仿宋"/>
          <w:sz w:val="32"/>
          <w:szCs w:val="32"/>
          <w:highlight w:val="none"/>
          <w:lang w:val="en-US" w:eastAsia="zh-CN"/>
        </w:rPr>
        <w:t>38.63%；</w:t>
      </w:r>
      <w:r>
        <w:rPr>
          <w:rFonts w:hint="eastAsia" w:ascii="仿宋" w:hAnsi="仿宋" w:eastAsia="仿宋" w:cs="仿宋"/>
          <w:sz w:val="32"/>
          <w:szCs w:val="32"/>
          <w:highlight w:val="none"/>
          <w:lang w:eastAsia="zh-CN"/>
        </w:rPr>
        <w:t>社会保障和就业支出</w:t>
      </w:r>
      <w:r>
        <w:rPr>
          <w:rFonts w:hint="eastAsia" w:ascii="仿宋" w:hAnsi="仿宋" w:eastAsia="仿宋" w:cs="仿宋"/>
          <w:sz w:val="32"/>
          <w:szCs w:val="32"/>
          <w:highlight w:val="none"/>
          <w:lang w:val="en-US" w:eastAsia="zh-CN"/>
        </w:rPr>
        <w:t>201.66</w:t>
      </w:r>
      <w:r>
        <w:rPr>
          <w:rFonts w:hint="eastAsia" w:ascii="仿宋" w:hAnsi="仿宋" w:eastAsia="仿宋" w:cs="仿宋"/>
          <w:sz w:val="32"/>
          <w:szCs w:val="32"/>
          <w:highlight w:val="none"/>
          <w:lang w:eastAsia="zh-CN"/>
        </w:rPr>
        <w:t>万元，</w:t>
      </w:r>
      <w:r>
        <w:rPr>
          <w:rFonts w:hint="eastAsia" w:ascii="仿宋" w:hAnsi="仿宋" w:eastAsia="仿宋" w:cs="仿宋"/>
          <w:sz w:val="32"/>
          <w:szCs w:val="32"/>
          <w:highlight w:val="none"/>
          <w:lang w:val="en-US" w:eastAsia="zh-CN"/>
        </w:rPr>
        <w:t>12.84%；</w:t>
      </w:r>
      <w:r>
        <w:rPr>
          <w:rFonts w:hint="eastAsia" w:ascii="仿宋" w:hAnsi="仿宋" w:eastAsia="仿宋" w:cs="仿宋"/>
          <w:sz w:val="32"/>
          <w:szCs w:val="32"/>
          <w:highlight w:val="none"/>
          <w:lang w:eastAsia="zh-CN"/>
        </w:rPr>
        <w:t>卫生健康支出</w:t>
      </w:r>
      <w:r>
        <w:rPr>
          <w:rFonts w:hint="eastAsia" w:ascii="仿宋" w:hAnsi="仿宋" w:eastAsia="仿宋" w:cs="仿宋"/>
          <w:sz w:val="32"/>
          <w:szCs w:val="32"/>
          <w:highlight w:val="none"/>
          <w:lang w:val="en-US" w:eastAsia="zh-CN"/>
        </w:rPr>
        <w:t>29.77</w:t>
      </w:r>
      <w:r>
        <w:rPr>
          <w:rFonts w:hint="eastAsia" w:ascii="仿宋" w:hAnsi="仿宋" w:eastAsia="仿宋" w:cs="仿宋"/>
          <w:sz w:val="32"/>
          <w:szCs w:val="32"/>
          <w:highlight w:val="none"/>
          <w:lang w:eastAsia="zh-CN"/>
        </w:rPr>
        <w:t>万元，占</w:t>
      </w:r>
      <w:r>
        <w:rPr>
          <w:rFonts w:hint="eastAsia" w:ascii="仿宋" w:hAnsi="仿宋" w:eastAsia="仿宋" w:cs="仿宋"/>
          <w:sz w:val="32"/>
          <w:szCs w:val="32"/>
          <w:highlight w:val="none"/>
          <w:lang w:val="en-US" w:eastAsia="zh-CN"/>
        </w:rPr>
        <w:t>1.90%；</w:t>
      </w:r>
      <w:r>
        <w:rPr>
          <w:rFonts w:hint="eastAsia" w:ascii="仿宋" w:hAnsi="仿宋" w:eastAsia="仿宋" w:cs="仿宋"/>
          <w:sz w:val="32"/>
          <w:szCs w:val="32"/>
          <w:highlight w:val="none"/>
          <w:lang w:eastAsia="zh-CN"/>
        </w:rPr>
        <w:t>住房保障支出</w:t>
      </w:r>
      <w:r>
        <w:rPr>
          <w:rFonts w:hint="eastAsia" w:ascii="仿宋" w:hAnsi="仿宋" w:eastAsia="仿宋" w:cs="仿宋"/>
          <w:sz w:val="32"/>
          <w:szCs w:val="32"/>
          <w:highlight w:val="none"/>
          <w:lang w:val="en-US" w:eastAsia="zh-CN"/>
        </w:rPr>
        <w:t>58.01</w:t>
      </w:r>
      <w:r>
        <w:rPr>
          <w:rFonts w:hint="eastAsia" w:ascii="仿宋" w:hAnsi="仿宋" w:eastAsia="仿宋" w:cs="仿宋"/>
          <w:sz w:val="32"/>
          <w:szCs w:val="32"/>
          <w:highlight w:val="none"/>
          <w:lang w:eastAsia="zh-CN"/>
        </w:rPr>
        <w:t>万元，占</w:t>
      </w:r>
      <w:r>
        <w:rPr>
          <w:rFonts w:hint="eastAsia" w:ascii="仿宋" w:hAnsi="仿宋" w:eastAsia="仿宋" w:cs="仿宋"/>
          <w:sz w:val="32"/>
          <w:szCs w:val="32"/>
          <w:highlight w:val="none"/>
          <w:lang w:val="en-US" w:eastAsia="zh-CN"/>
        </w:rPr>
        <w:t>3.70%。</w:t>
      </w:r>
    </w:p>
    <w:p>
      <w:pPr>
        <w:ind w:firstLine="640"/>
        <w:jc w:val="left"/>
        <w:rPr>
          <w:rFonts w:hint="eastAsia" w:ascii="楷体" w:hAnsi="楷体" w:eastAsia="楷体"/>
          <w:sz w:val="32"/>
          <w:szCs w:val="32"/>
          <w:highlight w:val="none"/>
        </w:rPr>
      </w:pPr>
      <w:r>
        <w:rPr>
          <w:rFonts w:hint="eastAsia" w:ascii="楷体" w:hAnsi="楷体" w:eastAsia="楷体"/>
          <w:sz w:val="32"/>
          <w:szCs w:val="32"/>
          <w:highlight w:val="none"/>
        </w:rPr>
        <w:t>（三）一般公共预算当年拨款具体使用情况</w:t>
      </w:r>
    </w:p>
    <w:p>
      <w:pPr>
        <w:ind w:firstLine="640" w:firstLineChars="200"/>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eastAsia="zh-CN"/>
        </w:rPr>
        <w:t>1.一般公共服务支出（类）群众团体事务（款）一般行政管理事务（项）</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年预算数为</w:t>
      </w:r>
      <w:r>
        <w:rPr>
          <w:rFonts w:hint="eastAsia" w:ascii="仿宋" w:hAnsi="仿宋" w:eastAsia="仿宋" w:cs="仿宋"/>
          <w:sz w:val="32"/>
          <w:szCs w:val="32"/>
          <w:highlight w:val="none"/>
          <w:lang w:val="en-US" w:eastAsia="zh-CN"/>
        </w:rPr>
        <w:t>6.6</w:t>
      </w:r>
      <w:r>
        <w:rPr>
          <w:rFonts w:hint="eastAsia" w:ascii="仿宋" w:hAnsi="仿宋" w:eastAsia="仿宋" w:cs="仿宋"/>
          <w:sz w:val="32"/>
          <w:szCs w:val="32"/>
          <w:highlight w:val="none"/>
          <w:lang w:eastAsia="zh-CN"/>
        </w:rPr>
        <w:t>万元，比上年预算数减少</w:t>
      </w:r>
      <w:r>
        <w:rPr>
          <w:rFonts w:hint="eastAsia" w:ascii="仿宋" w:hAnsi="仿宋" w:eastAsia="仿宋" w:cs="仿宋"/>
          <w:sz w:val="32"/>
          <w:szCs w:val="32"/>
          <w:highlight w:val="none"/>
          <w:lang w:val="en-US" w:eastAsia="zh-CN"/>
        </w:rPr>
        <w:t>37.9</w:t>
      </w:r>
      <w:r>
        <w:rPr>
          <w:rFonts w:hint="eastAsia" w:ascii="仿宋" w:hAnsi="仿宋" w:eastAsia="仿宋" w:cs="仿宋"/>
          <w:sz w:val="32"/>
          <w:szCs w:val="32"/>
          <w:highlight w:val="none"/>
          <w:lang w:eastAsia="zh-CN"/>
        </w:rPr>
        <w:t>万元，主要是因为下属单位省书画院支出功能科目分类调整</w:t>
      </w:r>
      <w:r>
        <w:rPr>
          <w:rFonts w:hint="eastAsia" w:ascii="仿宋" w:hAnsi="仿宋" w:eastAsia="仿宋" w:cs="仿宋"/>
          <w:sz w:val="32"/>
          <w:szCs w:val="32"/>
          <w:highlight w:val="none"/>
          <w:lang w:val="en-US" w:eastAsia="zh-CN"/>
        </w:rPr>
        <w:t>。</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2. 一般公共服务支出（类）群众团体事务（款）事业运行（项）</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年预算数为</w:t>
      </w:r>
      <w:r>
        <w:rPr>
          <w:rFonts w:hint="eastAsia" w:ascii="仿宋" w:hAnsi="仿宋" w:eastAsia="仿宋" w:cs="仿宋"/>
          <w:sz w:val="32"/>
          <w:szCs w:val="32"/>
          <w:highlight w:val="none"/>
          <w:lang w:val="en-US" w:eastAsia="zh-CN"/>
        </w:rPr>
        <w:t>43.76</w:t>
      </w:r>
      <w:r>
        <w:rPr>
          <w:rFonts w:hint="eastAsia" w:ascii="仿宋" w:hAnsi="仿宋" w:eastAsia="仿宋" w:cs="仿宋"/>
          <w:sz w:val="32"/>
          <w:szCs w:val="32"/>
          <w:highlight w:val="none"/>
          <w:lang w:eastAsia="zh-CN"/>
        </w:rPr>
        <w:t>万元，比上年预算数减少</w:t>
      </w:r>
      <w:r>
        <w:rPr>
          <w:rFonts w:hint="eastAsia" w:ascii="仿宋" w:hAnsi="仿宋" w:eastAsia="仿宋" w:cs="仿宋"/>
          <w:sz w:val="32"/>
          <w:szCs w:val="32"/>
          <w:highlight w:val="none"/>
          <w:lang w:val="en-US" w:eastAsia="zh-CN"/>
        </w:rPr>
        <w:t>9.66</w:t>
      </w:r>
      <w:r>
        <w:rPr>
          <w:rFonts w:hint="eastAsia" w:ascii="仿宋" w:hAnsi="仿宋" w:eastAsia="仿宋" w:cs="仿宋"/>
          <w:sz w:val="32"/>
          <w:szCs w:val="32"/>
          <w:highlight w:val="none"/>
          <w:lang w:eastAsia="zh-CN"/>
        </w:rPr>
        <w:t>万元，主要是因为下属单位省书画院支出功能科目分类调整。</w:t>
      </w:r>
    </w:p>
    <w:p>
      <w:pPr>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lang w:eastAsia="zh-CN"/>
        </w:rPr>
        <w:t xml:space="preserve"> 一般公共服务支出（类）群众团体事务（款）其他群众团体事务支出（项）</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年预算数为</w:t>
      </w:r>
      <w:r>
        <w:rPr>
          <w:rFonts w:hint="eastAsia" w:ascii="仿宋" w:hAnsi="仿宋" w:eastAsia="仿宋" w:cs="仿宋"/>
          <w:sz w:val="32"/>
          <w:szCs w:val="32"/>
          <w:highlight w:val="none"/>
          <w:lang w:val="en-US" w:eastAsia="zh-CN"/>
        </w:rPr>
        <w:t>623.60</w:t>
      </w:r>
      <w:r>
        <w:rPr>
          <w:rFonts w:hint="eastAsia" w:ascii="仿宋" w:hAnsi="仿宋" w:eastAsia="仿宋" w:cs="仿宋"/>
          <w:sz w:val="32"/>
          <w:szCs w:val="32"/>
          <w:highlight w:val="none"/>
          <w:lang w:eastAsia="zh-CN"/>
        </w:rPr>
        <w:t>万元，比上年预算数减少</w:t>
      </w:r>
      <w:r>
        <w:rPr>
          <w:rFonts w:hint="eastAsia" w:ascii="仿宋" w:hAnsi="仿宋" w:eastAsia="仿宋" w:cs="仿宋"/>
          <w:sz w:val="32"/>
          <w:szCs w:val="32"/>
          <w:highlight w:val="none"/>
          <w:lang w:val="en-US" w:eastAsia="zh-CN"/>
        </w:rPr>
        <w:t>689.06</w:t>
      </w:r>
      <w:r>
        <w:rPr>
          <w:rFonts w:hint="eastAsia" w:ascii="仿宋" w:hAnsi="仿宋" w:eastAsia="仿宋" w:cs="仿宋"/>
          <w:sz w:val="32"/>
          <w:szCs w:val="32"/>
          <w:highlight w:val="none"/>
          <w:lang w:eastAsia="zh-CN"/>
        </w:rPr>
        <w:t>万元，主要因为</w:t>
      </w:r>
      <w:r>
        <w:rPr>
          <w:rFonts w:hint="eastAsia" w:ascii="仿宋" w:hAnsi="仿宋" w:eastAsia="仿宋" w:cs="仿宋"/>
          <w:sz w:val="32"/>
          <w:szCs w:val="32"/>
          <w:highlight w:val="none"/>
          <w:u w:val="none"/>
          <w:lang w:val="en-US" w:eastAsia="zh-CN"/>
        </w:rPr>
        <w:t>2023年全省财力紧张，除保障“三保”支出，统筹分配至各部门的项目支出预算数较往年大幅减少。</w:t>
      </w:r>
    </w:p>
    <w:p>
      <w:pPr>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lang w:eastAsia="zh-CN"/>
        </w:rPr>
        <w:t xml:space="preserve"> 文化旅游体育与传媒支出（类）文化和旅游（款）行政运行（项）</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年预算数为</w:t>
      </w:r>
      <w:r>
        <w:rPr>
          <w:rFonts w:hint="eastAsia" w:ascii="仿宋" w:hAnsi="仿宋" w:eastAsia="仿宋" w:cs="仿宋"/>
          <w:sz w:val="32"/>
          <w:szCs w:val="32"/>
          <w:highlight w:val="none"/>
          <w:lang w:val="en-US" w:eastAsia="zh-CN"/>
        </w:rPr>
        <w:t>606.48</w:t>
      </w:r>
      <w:r>
        <w:rPr>
          <w:rFonts w:hint="eastAsia" w:ascii="仿宋" w:hAnsi="仿宋" w:eastAsia="仿宋" w:cs="仿宋"/>
          <w:sz w:val="32"/>
          <w:szCs w:val="32"/>
          <w:highlight w:val="none"/>
          <w:lang w:eastAsia="zh-CN"/>
        </w:rPr>
        <w:t>万元，比上年预算数减少</w:t>
      </w:r>
      <w:r>
        <w:rPr>
          <w:rFonts w:hint="eastAsia" w:ascii="仿宋" w:hAnsi="仿宋" w:eastAsia="仿宋" w:cs="仿宋"/>
          <w:sz w:val="32"/>
          <w:szCs w:val="32"/>
          <w:highlight w:val="none"/>
          <w:lang w:val="en-US" w:eastAsia="zh-CN"/>
        </w:rPr>
        <w:t>96.93</w:t>
      </w:r>
      <w:r>
        <w:rPr>
          <w:rFonts w:hint="eastAsia" w:ascii="仿宋" w:hAnsi="仿宋" w:eastAsia="仿宋" w:cs="仿宋"/>
          <w:sz w:val="32"/>
          <w:szCs w:val="32"/>
          <w:highlight w:val="none"/>
          <w:lang w:eastAsia="zh-CN"/>
        </w:rPr>
        <w:t>万元，主要因为：一是</w:t>
      </w:r>
      <w:r>
        <w:rPr>
          <w:rFonts w:hint="eastAsia" w:ascii="仿宋" w:hAnsi="仿宋" w:eastAsia="仿宋" w:cs="仿宋"/>
          <w:sz w:val="32"/>
          <w:szCs w:val="32"/>
          <w:highlight w:val="none"/>
          <w:lang w:val="en-US" w:eastAsia="zh-CN"/>
        </w:rPr>
        <w:t>2023年</w:t>
      </w:r>
      <w:r>
        <w:rPr>
          <w:rFonts w:hint="eastAsia" w:ascii="仿宋" w:hAnsi="仿宋" w:eastAsia="仿宋" w:cs="仿宋"/>
          <w:sz w:val="32"/>
          <w:szCs w:val="32"/>
          <w:highlight w:val="none"/>
          <w:lang w:eastAsia="zh-CN"/>
        </w:rPr>
        <w:t>人员经费自动测算取数节点的在编人数较</w:t>
      </w:r>
      <w:r>
        <w:rPr>
          <w:rFonts w:hint="eastAsia" w:ascii="仿宋" w:hAnsi="仿宋" w:eastAsia="仿宋" w:cs="仿宋"/>
          <w:sz w:val="32"/>
          <w:szCs w:val="32"/>
          <w:highlight w:val="none"/>
          <w:lang w:val="en-US" w:eastAsia="zh-CN"/>
        </w:rPr>
        <w:t>2022年少，使得2023年的人员支出预算数减少；二是2022年项目支出</w:t>
      </w:r>
      <w:r>
        <w:rPr>
          <w:rFonts w:hint="eastAsia" w:ascii="仿宋" w:hAnsi="仿宋" w:eastAsia="仿宋" w:cs="仿宋"/>
          <w:sz w:val="32"/>
          <w:szCs w:val="32"/>
          <w:highlight w:val="none"/>
          <w:lang w:eastAsia="zh-CN"/>
        </w:rPr>
        <w:t>“文艺研创及展演”预算数</w:t>
      </w:r>
      <w:r>
        <w:rPr>
          <w:rFonts w:hint="eastAsia" w:ascii="仿宋" w:hAnsi="仿宋" w:eastAsia="仿宋" w:cs="仿宋"/>
          <w:sz w:val="32"/>
          <w:szCs w:val="32"/>
          <w:highlight w:val="none"/>
          <w:lang w:val="en-US" w:eastAsia="zh-CN"/>
        </w:rPr>
        <w:t>12万元</w:t>
      </w:r>
      <w:r>
        <w:rPr>
          <w:rFonts w:hint="eastAsia" w:ascii="仿宋" w:hAnsi="仿宋" w:eastAsia="仿宋" w:cs="仿宋"/>
          <w:sz w:val="32"/>
          <w:szCs w:val="32"/>
          <w:highlight w:val="none"/>
          <w:lang w:eastAsia="zh-CN"/>
        </w:rPr>
        <w:t>在“行政运行（项）”中体现，</w:t>
      </w:r>
      <w:r>
        <w:rPr>
          <w:rFonts w:hint="eastAsia" w:ascii="仿宋" w:hAnsi="仿宋" w:eastAsia="仿宋" w:cs="仿宋"/>
          <w:sz w:val="32"/>
          <w:szCs w:val="32"/>
          <w:highlight w:val="none"/>
          <w:lang w:val="en-US" w:eastAsia="zh-CN"/>
        </w:rPr>
        <w:t>2023年项目支出预算不在此科目体现</w:t>
      </w:r>
      <w:r>
        <w:rPr>
          <w:rFonts w:hint="eastAsia" w:ascii="仿宋" w:hAnsi="仿宋" w:eastAsia="仿宋" w:cs="仿宋"/>
          <w:sz w:val="32"/>
          <w:szCs w:val="32"/>
          <w:highlight w:val="none"/>
          <w:lang w:eastAsia="zh-CN"/>
        </w:rPr>
        <w:t>。</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5.社会保障和就业支出</w:t>
      </w:r>
      <w:r>
        <w:rPr>
          <w:rFonts w:hint="eastAsia" w:ascii="仿宋" w:hAnsi="仿宋" w:eastAsia="仿宋" w:cs="仿宋"/>
          <w:sz w:val="32"/>
          <w:szCs w:val="32"/>
          <w:highlight w:val="none"/>
          <w:lang w:eastAsia="zh-CN"/>
        </w:rPr>
        <w:t>（类）行政事业单位养老支出（款）机关事业单位基本养老保险缴费支出（项）</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年预算数为</w:t>
      </w:r>
      <w:r>
        <w:rPr>
          <w:rFonts w:hint="eastAsia" w:ascii="仿宋" w:hAnsi="仿宋" w:eastAsia="仿宋" w:cs="仿宋"/>
          <w:sz w:val="32"/>
          <w:szCs w:val="32"/>
          <w:highlight w:val="none"/>
          <w:lang w:val="en-US" w:eastAsia="zh-CN"/>
        </w:rPr>
        <w:t>66.93</w:t>
      </w:r>
      <w:r>
        <w:rPr>
          <w:rFonts w:hint="eastAsia" w:ascii="仿宋" w:hAnsi="仿宋" w:eastAsia="仿宋" w:cs="仿宋"/>
          <w:sz w:val="32"/>
          <w:szCs w:val="32"/>
          <w:highlight w:val="none"/>
          <w:lang w:eastAsia="zh-CN"/>
        </w:rPr>
        <w:t>万元，比上年预算数增加</w:t>
      </w:r>
      <w:r>
        <w:rPr>
          <w:rFonts w:hint="eastAsia" w:ascii="仿宋" w:hAnsi="仿宋" w:eastAsia="仿宋" w:cs="仿宋"/>
          <w:sz w:val="32"/>
          <w:szCs w:val="32"/>
          <w:highlight w:val="none"/>
          <w:lang w:val="en-US" w:eastAsia="zh-CN"/>
        </w:rPr>
        <w:t>2.51</w:t>
      </w:r>
      <w:r>
        <w:rPr>
          <w:rFonts w:hint="eastAsia" w:ascii="仿宋" w:hAnsi="仿宋" w:eastAsia="仿宋" w:cs="仿宋"/>
          <w:sz w:val="32"/>
          <w:szCs w:val="32"/>
          <w:highlight w:val="none"/>
          <w:lang w:eastAsia="zh-CN"/>
        </w:rPr>
        <w:t>万元，主要因为机关养老保险缴费基数提高，使得机关养老保险预算数增加。</w:t>
      </w:r>
    </w:p>
    <w:p>
      <w:pPr>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6.社会保障和就业支出</w:t>
      </w:r>
      <w:r>
        <w:rPr>
          <w:rFonts w:hint="eastAsia" w:ascii="仿宋" w:hAnsi="仿宋" w:eastAsia="仿宋" w:cs="仿宋"/>
          <w:sz w:val="32"/>
          <w:szCs w:val="32"/>
          <w:highlight w:val="none"/>
          <w:lang w:eastAsia="zh-CN"/>
        </w:rPr>
        <w:t>（类）行政事业单位养老支出（款）机关事业单位职业年金缴费支出（项）</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年预算数为</w:t>
      </w:r>
      <w:r>
        <w:rPr>
          <w:rFonts w:hint="eastAsia" w:ascii="仿宋" w:hAnsi="仿宋" w:eastAsia="仿宋" w:cs="仿宋"/>
          <w:sz w:val="32"/>
          <w:szCs w:val="32"/>
          <w:highlight w:val="none"/>
          <w:lang w:val="en-US" w:eastAsia="zh-CN"/>
        </w:rPr>
        <w:t>133.01</w:t>
      </w:r>
      <w:r>
        <w:rPr>
          <w:rFonts w:hint="eastAsia" w:ascii="仿宋" w:hAnsi="仿宋" w:eastAsia="仿宋" w:cs="仿宋"/>
          <w:sz w:val="32"/>
          <w:szCs w:val="32"/>
          <w:highlight w:val="none"/>
          <w:lang w:eastAsia="zh-CN"/>
        </w:rPr>
        <w:t>万元，比上年预算数增加</w:t>
      </w:r>
      <w:r>
        <w:rPr>
          <w:rFonts w:hint="eastAsia" w:ascii="仿宋" w:hAnsi="仿宋" w:eastAsia="仿宋" w:cs="仿宋"/>
          <w:sz w:val="32"/>
          <w:szCs w:val="32"/>
          <w:highlight w:val="none"/>
          <w:lang w:val="en-US" w:eastAsia="zh-CN"/>
        </w:rPr>
        <w:t>93.06</w:t>
      </w:r>
      <w:r>
        <w:rPr>
          <w:rFonts w:hint="eastAsia" w:ascii="仿宋" w:hAnsi="仿宋" w:eastAsia="仿宋" w:cs="仿宋"/>
          <w:sz w:val="32"/>
          <w:szCs w:val="32"/>
          <w:highlight w:val="none"/>
          <w:lang w:eastAsia="zh-CN"/>
        </w:rPr>
        <w:t>万元，主要是因为</w:t>
      </w:r>
      <w:r>
        <w:rPr>
          <w:rFonts w:hint="eastAsia" w:ascii="仿宋" w:hAnsi="仿宋" w:eastAsia="仿宋" w:cs="仿宋"/>
          <w:sz w:val="32"/>
          <w:szCs w:val="32"/>
          <w:highlight w:val="none"/>
          <w:lang w:val="en-US" w:eastAsia="zh-CN"/>
        </w:rPr>
        <w:t>2022年中调整政策为</w:t>
      </w:r>
      <w:r>
        <w:rPr>
          <w:rFonts w:hint="eastAsia" w:ascii="仿宋" w:hAnsi="仿宋" w:eastAsia="仿宋" w:cs="仿宋"/>
          <w:sz w:val="32"/>
          <w:szCs w:val="32"/>
          <w:highlight w:val="none"/>
          <w:lang w:eastAsia="zh-CN"/>
        </w:rPr>
        <w:t>职业年金记实缴费，故</w:t>
      </w:r>
      <w:r>
        <w:rPr>
          <w:rFonts w:hint="eastAsia" w:ascii="仿宋" w:hAnsi="仿宋" w:eastAsia="仿宋" w:cs="仿宋"/>
          <w:sz w:val="32"/>
          <w:szCs w:val="32"/>
          <w:highlight w:val="none"/>
          <w:lang w:val="en-US" w:eastAsia="zh-CN"/>
        </w:rPr>
        <w:t>2023年增加</w:t>
      </w:r>
      <w:r>
        <w:rPr>
          <w:rFonts w:hint="eastAsia" w:ascii="仿宋" w:hAnsi="仿宋" w:eastAsia="仿宋" w:cs="仿宋"/>
          <w:sz w:val="32"/>
          <w:szCs w:val="32"/>
          <w:highlight w:val="none"/>
          <w:lang w:eastAsia="zh-CN"/>
        </w:rPr>
        <w:t>职业年金记实缴费预算，且</w:t>
      </w:r>
      <w:r>
        <w:rPr>
          <w:rFonts w:hint="eastAsia" w:ascii="仿宋" w:hAnsi="仿宋" w:eastAsia="仿宋" w:cs="仿宋"/>
          <w:sz w:val="32"/>
          <w:szCs w:val="32"/>
          <w:highlight w:val="none"/>
          <w:lang w:val="en-US" w:eastAsia="zh-CN"/>
        </w:rPr>
        <w:t>2023年退休人员比2022年多，职业年金预算数增加。</w:t>
      </w:r>
    </w:p>
    <w:p>
      <w:pPr>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7.社会保障和就业支出</w:t>
      </w:r>
      <w:r>
        <w:rPr>
          <w:rFonts w:hint="eastAsia" w:ascii="仿宋" w:hAnsi="仿宋" w:eastAsia="仿宋" w:cs="仿宋"/>
          <w:sz w:val="32"/>
          <w:szCs w:val="32"/>
          <w:highlight w:val="none"/>
          <w:lang w:eastAsia="zh-CN"/>
        </w:rPr>
        <w:t>（类）抚恤（款）其他优抚支出（项）</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年预算数为1.</w:t>
      </w: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lang w:eastAsia="zh-CN"/>
        </w:rPr>
        <w:t>3万元，比上年预算数增加</w:t>
      </w:r>
      <w:r>
        <w:rPr>
          <w:rFonts w:hint="eastAsia" w:ascii="仿宋" w:hAnsi="仿宋" w:eastAsia="仿宋" w:cs="仿宋"/>
          <w:sz w:val="32"/>
          <w:szCs w:val="32"/>
          <w:highlight w:val="none"/>
          <w:lang w:val="en-US" w:eastAsia="zh-CN"/>
        </w:rPr>
        <w:t>0.1</w:t>
      </w:r>
      <w:r>
        <w:rPr>
          <w:rFonts w:hint="eastAsia" w:ascii="仿宋" w:hAnsi="仿宋" w:eastAsia="仿宋" w:cs="仿宋"/>
          <w:sz w:val="32"/>
          <w:szCs w:val="32"/>
          <w:highlight w:val="none"/>
          <w:lang w:eastAsia="zh-CN"/>
        </w:rPr>
        <w:t>万元，主要是因为遗属补助发放标准提高。</w:t>
      </w:r>
    </w:p>
    <w:p>
      <w:pPr>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8.卫生健康支出</w:t>
      </w:r>
      <w:r>
        <w:rPr>
          <w:rFonts w:hint="eastAsia" w:ascii="仿宋" w:hAnsi="仿宋" w:eastAsia="仿宋" w:cs="仿宋"/>
          <w:sz w:val="32"/>
          <w:szCs w:val="32"/>
          <w:highlight w:val="none"/>
          <w:lang w:eastAsia="zh-CN"/>
        </w:rPr>
        <w:t>（类）行政事业单位医疗（款）行政单位医疗（项）</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年预算数为</w:t>
      </w:r>
      <w:r>
        <w:rPr>
          <w:rFonts w:hint="eastAsia" w:ascii="仿宋" w:hAnsi="仿宋" w:eastAsia="仿宋" w:cs="仿宋"/>
          <w:sz w:val="32"/>
          <w:szCs w:val="32"/>
          <w:highlight w:val="none"/>
          <w:lang w:val="en-US" w:eastAsia="zh-CN"/>
        </w:rPr>
        <w:t>27.23</w:t>
      </w:r>
      <w:r>
        <w:rPr>
          <w:rFonts w:hint="eastAsia" w:ascii="仿宋" w:hAnsi="仿宋" w:eastAsia="仿宋" w:cs="仿宋"/>
          <w:sz w:val="32"/>
          <w:szCs w:val="32"/>
          <w:highlight w:val="none"/>
          <w:lang w:eastAsia="zh-CN"/>
        </w:rPr>
        <w:t>万元，比上年预算数减少</w:t>
      </w:r>
      <w:r>
        <w:rPr>
          <w:rFonts w:hint="eastAsia" w:ascii="仿宋" w:hAnsi="仿宋" w:eastAsia="仿宋" w:cs="仿宋"/>
          <w:sz w:val="32"/>
          <w:szCs w:val="32"/>
          <w:highlight w:val="none"/>
          <w:lang w:val="en-US" w:eastAsia="zh-CN"/>
        </w:rPr>
        <w:t>4.05</w:t>
      </w:r>
      <w:r>
        <w:rPr>
          <w:rFonts w:hint="eastAsia" w:ascii="仿宋" w:hAnsi="仿宋" w:eastAsia="仿宋" w:cs="仿宋"/>
          <w:sz w:val="32"/>
          <w:szCs w:val="32"/>
          <w:highlight w:val="none"/>
          <w:lang w:eastAsia="zh-CN"/>
        </w:rPr>
        <w:t>万元，主要原因是</w:t>
      </w:r>
      <w:r>
        <w:rPr>
          <w:rFonts w:hint="eastAsia" w:ascii="仿宋" w:hAnsi="仿宋" w:eastAsia="仿宋" w:cs="仿宋"/>
          <w:sz w:val="32"/>
          <w:szCs w:val="32"/>
          <w:highlight w:val="none"/>
          <w:lang w:val="en-US" w:eastAsia="zh-CN"/>
        </w:rPr>
        <w:t>2023年系统测算取数节点的在编人员较2022年少，使得2023年医疗保险预算较往年有所减少。</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9.卫生健康支出</w:t>
      </w:r>
      <w:r>
        <w:rPr>
          <w:rFonts w:hint="eastAsia" w:ascii="仿宋" w:hAnsi="仿宋" w:eastAsia="仿宋" w:cs="仿宋"/>
          <w:sz w:val="32"/>
          <w:szCs w:val="32"/>
          <w:highlight w:val="none"/>
          <w:lang w:eastAsia="zh-CN"/>
        </w:rPr>
        <w:t>（类）行政事业单位医疗（款）事业单位医疗（项）</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年预算数为2.54万元，比上年预算数增加</w:t>
      </w:r>
      <w:r>
        <w:rPr>
          <w:rFonts w:hint="eastAsia" w:ascii="仿宋" w:hAnsi="仿宋" w:eastAsia="仿宋" w:cs="仿宋"/>
          <w:sz w:val="32"/>
          <w:szCs w:val="32"/>
          <w:highlight w:val="none"/>
          <w:lang w:val="en-US" w:eastAsia="zh-CN"/>
        </w:rPr>
        <w:t>0.2</w:t>
      </w:r>
      <w:r>
        <w:rPr>
          <w:rFonts w:hint="eastAsia" w:ascii="仿宋" w:hAnsi="仿宋" w:eastAsia="仿宋" w:cs="仿宋"/>
          <w:sz w:val="32"/>
          <w:szCs w:val="32"/>
          <w:highlight w:val="none"/>
          <w:lang w:eastAsia="zh-CN"/>
        </w:rPr>
        <w:t>万元，主要原因是</w:t>
      </w:r>
      <w:r>
        <w:rPr>
          <w:rFonts w:hint="eastAsia" w:ascii="仿宋" w:hAnsi="仿宋" w:eastAsia="仿宋" w:cs="仿宋"/>
          <w:sz w:val="32"/>
          <w:szCs w:val="32"/>
          <w:highlight w:val="none"/>
          <w:lang w:val="en-US" w:eastAsia="zh-CN"/>
        </w:rPr>
        <w:t>2023年</w:t>
      </w:r>
      <w:r>
        <w:rPr>
          <w:rFonts w:hint="eastAsia" w:ascii="仿宋" w:hAnsi="仿宋" w:eastAsia="仿宋" w:cs="仿宋"/>
          <w:sz w:val="32"/>
          <w:szCs w:val="32"/>
          <w:highlight w:val="none"/>
          <w:lang w:eastAsia="zh-CN"/>
        </w:rPr>
        <w:t>医疗保险缴费基数提高。</w:t>
      </w:r>
    </w:p>
    <w:p>
      <w:pPr>
        <w:autoSpaceDE w:val="0"/>
        <w:autoSpaceDN w:val="0"/>
        <w:adjustRightInd w:val="0"/>
        <w:spacing w:line="560" w:lineRule="exact"/>
        <w:ind w:firstLine="640"/>
        <w:rPr>
          <w:rFonts w:ascii="仿宋_GB2312" w:hAnsi="??_GB2312" w:eastAsia="仿宋_GB2312" w:cs="仿宋"/>
          <w:color w:val="000000" w:themeColor="text1"/>
          <w:kern w:val="0"/>
          <w:sz w:val="32"/>
          <w:szCs w:val="32"/>
          <w:highlight w:val="none"/>
          <w:lang w:val="zh-CN"/>
          <w14:textFill>
            <w14:solidFill>
              <w14:schemeClr w14:val="tx1"/>
            </w14:solidFill>
          </w14:textFill>
        </w:rPr>
      </w:pPr>
      <w:r>
        <w:rPr>
          <w:rFonts w:hint="eastAsia" w:ascii="仿宋" w:hAnsi="仿宋" w:eastAsia="仿宋" w:cs="仿宋"/>
          <w:sz w:val="32"/>
          <w:szCs w:val="32"/>
          <w:highlight w:val="none"/>
          <w:lang w:val="en-US" w:eastAsia="zh-CN"/>
        </w:rPr>
        <w:t>10.住房保障支出</w:t>
      </w:r>
      <w:r>
        <w:rPr>
          <w:rFonts w:hint="eastAsia" w:ascii="仿宋" w:hAnsi="仿宋" w:eastAsia="仿宋" w:cs="仿宋"/>
          <w:sz w:val="32"/>
          <w:szCs w:val="32"/>
          <w:highlight w:val="none"/>
          <w:lang w:eastAsia="zh-CN"/>
        </w:rPr>
        <w:t>（类）住房改革支出（款）住房公积金（项）</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年预算数为58.01万元，比上年预算数增加</w:t>
      </w:r>
      <w:r>
        <w:rPr>
          <w:rFonts w:hint="eastAsia" w:ascii="仿宋" w:hAnsi="仿宋" w:eastAsia="仿宋" w:cs="仿宋"/>
          <w:sz w:val="32"/>
          <w:szCs w:val="32"/>
          <w:highlight w:val="none"/>
          <w:lang w:val="en-US" w:eastAsia="zh-CN"/>
        </w:rPr>
        <w:t>2.53</w:t>
      </w:r>
      <w:r>
        <w:rPr>
          <w:rFonts w:hint="eastAsia" w:ascii="仿宋" w:hAnsi="仿宋" w:eastAsia="仿宋" w:cs="仿宋"/>
          <w:sz w:val="32"/>
          <w:szCs w:val="32"/>
          <w:highlight w:val="none"/>
          <w:lang w:eastAsia="zh-CN"/>
        </w:rPr>
        <w:t>万元。</w:t>
      </w:r>
      <w:r>
        <w:rPr>
          <w:rFonts w:hint="eastAsia" w:ascii="仿宋_GB2312" w:hAnsi="??_GB2312" w:eastAsia="仿宋_GB2312" w:cs="仿宋"/>
          <w:kern w:val="0"/>
          <w:sz w:val="32"/>
          <w:szCs w:val="32"/>
          <w:highlight w:val="none"/>
          <w:lang w:val="zh-CN"/>
        </w:rPr>
        <w:t>主要原因：</w:t>
      </w:r>
      <w:r>
        <w:rPr>
          <w:rFonts w:ascii="仿宋_GB2312" w:hAnsi="??_GB2312" w:eastAsia="仿宋_GB2312" w:cs="仿宋"/>
          <w:color w:val="000000" w:themeColor="text1"/>
          <w:kern w:val="0"/>
          <w:sz w:val="32"/>
          <w:szCs w:val="32"/>
          <w:highlight w:val="none"/>
          <w:lang w:val="zh-CN"/>
          <w14:textFill>
            <w14:solidFill>
              <w14:schemeClr w14:val="tx1"/>
            </w14:solidFill>
          </w14:textFill>
        </w:rPr>
        <w:t>一是</w:t>
      </w:r>
      <w:r>
        <w:rPr>
          <w:rFonts w:hint="eastAsia" w:ascii="仿宋_GB2312" w:hAnsi="??_GB2312" w:eastAsia="仿宋_GB2312" w:cs="仿宋"/>
          <w:color w:val="000000" w:themeColor="text1"/>
          <w:kern w:val="0"/>
          <w:sz w:val="32"/>
          <w:szCs w:val="32"/>
          <w:highlight w:val="none"/>
          <w:lang w:val="zh-CN"/>
          <w14:textFill>
            <w14:solidFill>
              <w14:schemeClr w14:val="tx1"/>
            </w14:solidFill>
          </w14:textFill>
        </w:rPr>
        <w:t>调整工资</w:t>
      </w:r>
      <w:r>
        <w:rPr>
          <w:rFonts w:ascii="仿宋_GB2312" w:hAnsi="??_GB2312" w:eastAsia="仿宋_GB2312" w:cs="仿宋"/>
          <w:color w:val="000000" w:themeColor="text1"/>
          <w:kern w:val="0"/>
          <w:sz w:val="32"/>
          <w:szCs w:val="32"/>
          <w:highlight w:val="none"/>
          <w:lang w:val="zh-CN"/>
          <w14:textFill>
            <w14:solidFill>
              <w14:schemeClr w14:val="tx1"/>
            </w14:solidFill>
          </w14:textFill>
        </w:rPr>
        <w:t>标准，</w:t>
      </w:r>
      <w:r>
        <w:rPr>
          <w:rFonts w:hint="eastAsia" w:ascii="仿宋_GB2312" w:hAnsi="??_GB2312" w:eastAsia="仿宋_GB2312" w:cs="仿宋"/>
          <w:color w:val="000000" w:themeColor="text1"/>
          <w:kern w:val="0"/>
          <w:sz w:val="32"/>
          <w:szCs w:val="32"/>
          <w:highlight w:val="none"/>
          <w:lang w:val="zh-CN"/>
          <w14:textFill>
            <w14:solidFill>
              <w14:schemeClr w14:val="tx1"/>
            </w14:solidFill>
          </w14:textFill>
        </w:rPr>
        <w:t>增加基本</w:t>
      </w:r>
      <w:r>
        <w:rPr>
          <w:rFonts w:ascii="仿宋_GB2312" w:hAnsi="??_GB2312" w:eastAsia="仿宋_GB2312" w:cs="仿宋"/>
          <w:color w:val="000000" w:themeColor="text1"/>
          <w:kern w:val="0"/>
          <w:sz w:val="32"/>
          <w:szCs w:val="32"/>
          <w:highlight w:val="none"/>
          <w:lang w:val="zh-CN"/>
          <w14:textFill>
            <w14:solidFill>
              <w14:schemeClr w14:val="tx1"/>
            </w14:solidFill>
          </w14:textFill>
        </w:rPr>
        <w:t>工资</w:t>
      </w:r>
      <w:r>
        <w:rPr>
          <w:rFonts w:hint="eastAsia" w:ascii="仿宋_GB2312" w:hAnsi="??_GB2312" w:eastAsia="仿宋_GB2312" w:cs="仿宋"/>
          <w:color w:val="000000" w:themeColor="text1"/>
          <w:kern w:val="0"/>
          <w:sz w:val="32"/>
          <w:szCs w:val="32"/>
          <w:highlight w:val="none"/>
          <w:lang w:val="zh-CN"/>
          <w14:textFill>
            <w14:solidFill>
              <w14:schemeClr w14:val="tx1"/>
            </w14:solidFill>
          </w14:textFill>
        </w:rPr>
        <w:t>，住房公积金</w:t>
      </w:r>
      <w:r>
        <w:rPr>
          <w:rFonts w:ascii="仿宋_GB2312" w:hAnsi="??_GB2312" w:eastAsia="仿宋_GB2312" w:cs="仿宋"/>
          <w:color w:val="000000" w:themeColor="text1"/>
          <w:kern w:val="0"/>
          <w:sz w:val="32"/>
          <w:szCs w:val="32"/>
          <w:highlight w:val="none"/>
          <w:lang w:val="zh-CN"/>
          <w14:textFill>
            <w14:solidFill>
              <w14:schemeClr w14:val="tx1"/>
            </w14:solidFill>
          </w14:textFill>
        </w:rPr>
        <w:t>缴费基</w:t>
      </w:r>
      <w:r>
        <w:rPr>
          <w:rFonts w:hint="eastAsia" w:ascii="仿宋_GB2312" w:hAnsi="??_GB2312" w:eastAsia="仿宋_GB2312" w:cs="仿宋"/>
          <w:color w:val="000000" w:themeColor="text1"/>
          <w:kern w:val="0"/>
          <w:sz w:val="32"/>
          <w:szCs w:val="32"/>
          <w:highlight w:val="none"/>
          <w:lang w:val="zh-CN"/>
          <w14:textFill>
            <w14:solidFill>
              <w14:schemeClr w14:val="tx1"/>
            </w14:solidFill>
          </w14:textFill>
        </w:rPr>
        <w:t>数增加</w:t>
      </w:r>
      <w:r>
        <w:rPr>
          <w:rFonts w:ascii="仿宋_GB2312" w:hAnsi="??_GB2312" w:eastAsia="仿宋_GB2312" w:cs="仿宋"/>
          <w:color w:val="000000" w:themeColor="text1"/>
          <w:kern w:val="0"/>
          <w:sz w:val="32"/>
          <w:szCs w:val="32"/>
          <w:highlight w:val="none"/>
          <w:lang w:val="zh-CN"/>
          <w14:textFill>
            <w14:solidFill>
              <w14:schemeClr w14:val="tx1"/>
            </w14:solidFill>
          </w14:textFill>
        </w:rPr>
        <w:t>，</w:t>
      </w:r>
      <w:r>
        <w:rPr>
          <w:rFonts w:hint="eastAsia" w:ascii="仿宋_GB2312" w:hAnsi="??_GB2312" w:eastAsia="仿宋_GB2312" w:cs="仿宋"/>
          <w:color w:val="000000" w:themeColor="text1"/>
          <w:kern w:val="0"/>
          <w:sz w:val="32"/>
          <w:szCs w:val="32"/>
          <w:highlight w:val="none"/>
          <w:lang w:val="zh-CN"/>
          <w14:textFill>
            <w14:solidFill>
              <w14:schemeClr w14:val="tx1"/>
            </w14:solidFill>
          </w14:textFill>
        </w:rPr>
        <w:t>相应</w:t>
      </w:r>
      <w:r>
        <w:rPr>
          <w:rFonts w:ascii="仿宋_GB2312" w:hAnsi="??_GB2312" w:eastAsia="仿宋_GB2312" w:cs="仿宋"/>
          <w:color w:val="000000" w:themeColor="text1"/>
          <w:kern w:val="0"/>
          <w:sz w:val="32"/>
          <w:szCs w:val="32"/>
          <w:highlight w:val="none"/>
          <w:lang w:val="zh-CN"/>
          <w14:textFill>
            <w14:solidFill>
              <w14:schemeClr w14:val="tx1"/>
            </w14:solidFill>
          </w14:textFill>
        </w:rPr>
        <w:t>预算增加</w:t>
      </w:r>
      <w:r>
        <w:rPr>
          <w:rFonts w:hint="eastAsia" w:ascii="仿宋_GB2312" w:hAnsi="??_GB2312" w:eastAsia="仿宋_GB2312" w:cs="仿宋"/>
          <w:color w:val="000000" w:themeColor="text1"/>
          <w:kern w:val="0"/>
          <w:sz w:val="32"/>
          <w:szCs w:val="32"/>
          <w:highlight w:val="none"/>
          <w:lang w:val="zh-CN"/>
          <w14:textFill>
            <w14:solidFill>
              <w14:schemeClr w14:val="tx1"/>
            </w14:solidFill>
          </w14:textFill>
        </w:rPr>
        <w:t>；</w:t>
      </w:r>
      <w:r>
        <w:rPr>
          <w:rFonts w:ascii="仿宋_GB2312" w:hAnsi="??_GB2312" w:eastAsia="仿宋_GB2312" w:cs="仿宋"/>
          <w:color w:val="000000" w:themeColor="text1"/>
          <w:kern w:val="0"/>
          <w:sz w:val="32"/>
          <w:szCs w:val="32"/>
          <w:highlight w:val="none"/>
          <w:lang w:val="zh-CN"/>
          <w14:textFill>
            <w14:solidFill>
              <w14:schemeClr w14:val="tx1"/>
            </w14:solidFill>
          </w14:textFill>
        </w:rPr>
        <w:t>二是</w:t>
      </w:r>
      <w:r>
        <w:rPr>
          <w:rFonts w:hint="eastAsia" w:ascii="仿宋_GB2312" w:hAnsi="??_GB2312" w:eastAsia="仿宋_GB2312" w:cs="仿宋"/>
          <w:color w:val="000000" w:themeColor="text1"/>
          <w:kern w:val="0"/>
          <w:sz w:val="32"/>
          <w:szCs w:val="32"/>
          <w:highlight w:val="none"/>
          <w:lang w:val="zh-CN"/>
          <w14:textFill>
            <w14:solidFill>
              <w14:schemeClr w14:val="tx1"/>
            </w14:solidFill>
          </w14:textFill>
        </w:rPr>
        <w:t>基础性</w:t>
      </w:r>
      <w:r>
        <w:rPr>
          <w:rFonts w:ascii="仿宋_GB2312" w:hAnsi="??_GB2312" w:eastAsia="仿宋_GB2312" w:cs="仿宋"/>
          <w:color w:val="000000" w:themeColor="text1"/>
          <w:kern w:val="0"/>
          <w:sz w:val="32"/>
          <w:szCs w:val="32"/>
          <w:highlight w:val="none"/>
          <w:lang w:val="zh-CN"/>
          <w14:textFill>
            <w14:solidFill>
              <w14:schemeClr w14:val="tx1"/>
            </w14:solidFill>
          </w14:textFill>
        </w:rPr>
        <w:t>绩效奖</w:t>
      </w:r>
      <w:r>
        <w:rPr>
          <w:rFonts w:hint="eastAsia" w:ascii="仿宋_GB2312" w:hAnsi="??_GB2312" w:eastAsia="仿宋_GB2312" w:cs="仿宋"/>
          <w:color w:val="000000" w:themeColor="text1"/>
          <w:kern w:val="0"/>
          <w:sz w:val="32"/>
          <w:szCs w:val="32"/>
          <w:highlight w:val="none"/>
          <w:lang w:val="zh-CN"/>
          <w14:textFill>
            <w14:solidFill>
              <w14:schemeClr w14:val="tx1"/>
            </w14:solidFill>
          </w14:textFill>
        </w:rPr>
        <w:t>和年度考核</w:t>
      </w:r>
      <w:r>
        <w:rPr>
          <w:rFonts w:ascii="仿宋_GB2312" w:hAnsi="??_GB2312" w:eastAsia="仿宋_GB2312" w:cs="仿宋"/>
          <w:color w:val="000000" w:themeColor="text1"/>
          <w:kern w:val="0"/>
          <w:sz w:val="32"/>
          <w:szCs w:val="32"/>
          <w:highlight w:val="none"/>
          <w:lang w:val="zh-CN"/>
          <w14:textFill>
            <w14:solidFill>
              <w14:schemeClr w14:val="tx1"/>
            </w14:solidFill>
          </w14:textFill>
        </w:rPr>
        <w:t>奖</w:t>
      </w:r>
      <w:r>
        <w:rPr>
          <w:rFonts w:hint="eastAsia" w:ascii="仿宋_GB2312" w:hAnsi="??_GB2312" w:eastAsia="仿宋_GB2312" w:cs="仿宋"/>
          <w:color w:val="000000" w:themeColor="text1"/>
          <w:kern w:val="0"/>
          <w:sz w:val="32"/>
          <w:szCs w:val="32"/>
          <w:highlight w:val="none"/>
          <w:lang w:val="zh-CN"/>
          <w14:textFill>
            <w14:solidFill>
              <w14:schemeClr w14:val="tx1"/>
            </w14:solidFill>
          </w14:textFill>
        </w:rPr>
        <w:t>纳入住房公积金</w:t>
      </w:r>
      <w:r>
        <w:rPr>
          <w:rFonts w:ascii="仿宋_GB2312" w:hAnsi="??_GB2312" w:eastAsia="仿宋_GB2312" w:cs="仿宋"/>
          <w:color w:val="000000" w:themeColor="text1"/>
          <w:kern w:val="0"/>
          <w:sz w:val="32"/>
          <w:szCs w:val="32"/>
          <w:highlight w:val="none"/>
          <w:lang w:val="zh-CN"/>
          <w14:textFill>
            <w14:solidFill>
              <w14:schemeClr w14:val="tx1"/>
            </w14:solidFill>
          </w14:textFill>
        </w:rPr>
        <w:t>缴费</w:t>
      </w:r>
      <w:r>
        <w:rPr>
          <w:rFonts w:hint="eastAsia" w:ascii="仿宋_GB2312" w:hAnsi="??_GB2312" w:eastAsia="仿宋_GB2312" w:cs="仿宋"/>
          <w:color w:val="000000" w:themeColor="text1"/>
          <w:kern w:val="0"/>
          <w:sz w:val="32"/>
          <w:szCs w:val="32"/>
          <w:highlight w:val="none"/>
          <w:lang w:val="zh-CN"/>
          <w14:textFill>
            <w14:solidFill>
              <w14:schemeClr w14:val="tx1"/>
            </w14:solidFill>
          </w14:textFill>
        </w:rPr>
        <w:t>基数，预算</w:t>
      </w:r>
      <w:r>
        <w:rPr>
          <w:rFonts w:ascii="仿宋_GB2312" w:hAnsi="??_GB2312" w:eastAsia="仿宋_GB2312" w:cs="仿宋"/>
          <w:color w:val="000000" w:themeColor="text1"/>
          <w:kern w:val="0"/>
          <w:sz w:val="32"/>
          <w:szCs w:val="32"/>
          <w:highlight w:val="none"/>
          <w:lang w:val="zh-CN"/>
          <w14:textFill>
            <w14:solidFill>
              <w14:schemeClr w14:val="tx1"/>
            </w14:solidFill>
          </w14:textFill>
        </w:rPr>
        <w:t>增加。</w:t>
      </w:r>
    </w:p>
    <w:p>
      <w:pPr>
        <w:ind w:firstLine="640"/>
        <w:rPr>
          <w:rFonts w:ascii="黑体" w:hAnsi="黑体" w:eastAsia="黑体"/>
          <w:sz w:val="32"/>
          <w:szCs w:val="32"/>
          <w:highlight w:val="none"/>
        </w:rPr>
      </w:pPr>
      <w:r>
        <w:rPr>
          <w:rFonts w:hint="eastAsia" w:ascii="黑体" w:hAnsi="黑体" w:eastAsia="黑体"/>
          <w:sz w:val="32"/>
          <w:szCs w:val="32"/>
          <w:highlight w:val="none"/>
        </w:rPr>
        <w:t>三、关于</w:t>
      </w:r>
      <w:r>
        <w:rPr>
          <w:rFonts w:hint="eastAsia" w:ascii="黑体" w:hAnsi="黑体" w:eastAsia="黑体"/>
          <w:sz w:val="32"/>
          <w:szCs w:val="32"/>
          <w:highlight w:val="none"/>
          <w:lang w:eastAsia="zh-CN"/>
        </w:rPr>
        <w:t>海南文联部门</w:t>
      </w:r>
      <w:r>
        <w:rPr>
          <w:rFonts w:hint="eastAsia" w:ascii="黑体" w:hAnsi="黑体" w:eastAsia="黑体"/>
          <w:sz w:val="32"/>
          <w:szCs w:val="32"/>
          <w:highlight w:val="none"/>
          <w:lang w:val="en-US" w:eastAsia="zh-CN"/>
        </w:rPr>
        <w:t>2023</w:t>
      </w:r>
      <w:r>
        <w:rPr>
          <w:rFonts w:hint="eastAsia" w:ascii="黑体" w:hAnsi="黑体" w:eastAsia="黑体"/>
          <w:sz w:val="32"/>
          <w:szCs w:val="32"/>
          <w:highlight w:val="none"/>
        </w:rPr>
        <w:t>年一般公共预算基本支出情况说明</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海南省文联部门</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年一般公共预算基本支出为</w:t>
      </w:r>
      <w:r>
        <w:rPr>
          <w:rFonts w:hint="eastAsia" w:ascii="仿宋" w:hAnsi="仿宋" w:eastAsia="仿宋" w:cs="仿宋"/>
          <w:sz w:val="32"/>
          <w:szCs w:val="32"/>
          <w:highlight w:val="none"/>
          <w:lang w:val="en-US" w:eastAsia="zh-CN"/>
        </w:rPr>
        <w:t>946.28</w:t>
      </w:r>
      <w:r>
        <w:rPr>
          <w:rFonts w:hint="eastAsia" w:ascii="仿宋" w:hAnsi="仿宋" w:eastAsia="仿宋" w:cs="仿宋"/>
          <w:sz w:val="32"/>
          <w:szCs w:val="32"/>
          <w:highlight w:val="none"/>
          <w:lang w:eastAsia="zh-CN"/>
        </w:rPr>
        <w:t>万元，其中：</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人员经费826.11万元，主要包括：基本工资、津贴补贴、奖金、绩效工资、机关事业单位基本养老保险缴费、职业年金缴费、职工基本医疗保险缴费、其他社会保障缴费、住房公积金、医疗费、其他工资福利支出、邮电费、其他交通费用、生活补助、奖励金等。</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公用经费</w:t>
      </w:r>
      <w:r>
        <w:rPr>
          <w:rFonts w:hint="eastAsia" w:ascii="仿宋" w:hAnsi="仿宋" w:eastAsia="仿宋" w:cs="仿宋"/>
          <w:sz w:val="32"/>
          <w:szCs w:val="32"/>
          <w:highlight w:val="none"/>
          <w:lang w:val="en-US" w:eastAsia="zh-CN"/>
        </w:rPr>
        <w:t>120.17</w:t>
      </w:r>
      <w:r>
        <w:rPr>
          <w:rFonts w:hint="eastAsia" w:ascii="仿宋" w:hAnsi="仿宋" w:eastAsia="仿宋" w:cs="仿宋"/>
          <w:sz w:val="32"/>
          <w:szCs w:val="32"/>
          <w:highlight w:val="none"/>
          <w:lang w:eastAsia="zh-CN"/>
        </w:rPr>
        <w:t>万元，主要包括：其他社会保障缴费、其他工资福利支出、办公费、印刷费、咨询费、手续费、水费、电费、邮电费、物业管理费、差旅费、维修(护)费、租赁费、会议费、培训费、公务接待费、专用材料费、劳务费、委托业务费、工会经费、公务用车运行维护费、其他交通费用、其他商品和服务支出、生活补助、救济费、其他对个人和家庭的补助、办公设备购置等。</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四、</w:t>
      </w:r>
      <w:r>
        <w:rPr>
          <w:rFonts w:hint="eastAsia" w:ascii="黑体" w:hAnsi="黑体" w:eastAsia="黑体"/>
          <w:sz w:val="32"/>
          <w:szCs w:val="32"/>
          <w:highlight w:val="none"/>
          <w:lang w:eastAsia="zh-CN"/>
        </w:rPr>
        <w:t>海南文联部门</w:t>
      </w:r>
      <w:r>
        <w:rPr>
          <w:rFonts w:hint="eastAsia" w:ascii="黑体" w:hAnsi="黑体" w:eastAsia="黑体"/>
          <w:sz w:val="32"/>
          <w:szCs w:val="32"/>
          <w:highlight w:val="none"/>
          <w:lang w:val="en-US" w:eastAsia="zh-CN"/>
        </w:rPr>
        <w:t>2023</w:t>
      </w:r>
      <w:r>
        <w:rPr>
          <w:rFonts w:ascii="黑体" w:hAnsi="黑体" w:eastAsia="黑体" w:cs="Times New Roman"/>
          <w:sz w:val="32"/>
          <w:highlight w:val="none"/>
          <w:shd w:val="clear" w:color="auto" w:fill="FFFFFF"/>
        </w:rPr>
        <w:t>年“三公”经费预算情况</w:t>
      </w:r>
      <w:r>
        <w:rPr>
          <w:rFonts w:hint="eastAsia" w:ascii="黑体" w:hAnsi="黑体" w:eastAsia="黑体" w:cs="Times New Roman"/>
          <w:sz w:val="32"/>
          <w:highlight w:val="none"/>
          <w:shd w:val="clear" w:color="auto" w:fill="FFFFFF"/>
        </w:rPr>
        <w:t>说明</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（一）海南省文联部门</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年一般公共预算“三公”经费预算数为11.</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lang w:eastAsia="zh-CN"/>
        </w:rPr>
        <w:t>4万元，其中：公务用车购置及运行费10.5万元（其中，公务用车购置费</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万元，公务用车运行费10.5万元），与上年预算持平；公务车保有量</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lang w:eastAsia="zh-CN"/>
        </w:rPr>
        <w:t>辆，计划购置</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辆；因公出国（境）经费</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万元；公务接待费0.</w:t>
      </w:r>
      <w:r>
        <w:rPr>
          <w:rFonts w:hint="eastAsia" w:ascii="仿宋" w:hAnsi="仿宋" w:eastAsia="仿宋" w:cs="仿宋"/>
          <w:sz w:val="32"/>
          <w:szCs w:val="32"/>
          <w:highlight w:val="none"/>
          <w:lang w:val="en-US" w:eastAsia="zh-CN"/>
        </w:rPr>
        <w:t>94</w:t>
      </w:r>
      <w:r>
        <w:rPr>
          <w:rFonts w:hint="eastAsia" w:ascii="仿宋" w:hAnsi="仿宋" w:eastAsia="仿宋" w:cs="仿宋"/>
          <w:sz w:val="32"/>
          <w:szCs w:val="32"/>
          <w:highlight w:val="none"/>
          <w:lang w:eastAsia="zh-CN"/>
        </w:rPr>
        <w:t>万元，较上年预算增加</w:t>
      </w:r>
      <w:r>
        <w:rPr>
          <w:rFonts w:hint="eastAsia" w:ascii="仿宋" w:hAnsi="仿宋" w:eastAsia="仿宋" w:cs="仿宋"/>
          <w:sz w:val="32"/>
          <w:szCs w:val="32"/>
          <w:highlight w:val="none"/>
          <w:lang w:val="en-US" w:eastAsia="zh-CN"/>
        </w:rPr>
        <w:t>10.59</w:t>
      </w:r>
      <w:r>
        <w:rPr>
          <w:rFonts w:hint="eastAsia" w:ascii="仿宋" w:hAnsi="仿宋" w:eastAsia="仿宋" w:cs="仿宋"/>
          <w:sz w:val="32"/>
          <w:szCs w:val="32"/>
          <w:highlight w:val="none"/>
          <w:lang w:eastAsia="zh-CN"/>
        </w:rPr>
        <w:t>%。上升的主要原因包括：</w:t>
      </w:r>
      <w:r>
        <w:rPr>
          <w:rFonts w:hint="eastAsia" w:ascii="仿宋" w:hAnsi="仿宋" w:eastAsia="仿宋" w:cs="仿宋"/>
          <w:sz w:val="32"/>
          <w:szCs w:val="32"/>
          <w:highlight w:val="none"/>
          <w:lang w:val="en-US" w:eastAsia="zh-CN"/>
        </w:rPr>
        <w:t>2023年预计接待的费用比2022年多</w:t>
      </w:r>
      <w:r>
        <w:rPr>
          <w:rFonts w:hint="eastAsia" w:ascii="仿宋" w:hAnsi="仿宋" w:eastAsia="仿宋" w:cs="仿宋"/>
          <w:sz w:val="32"/>
          <w:szCs w:val="32"/>
          <w:highlight w:val="none"/>
          <w:lang w:eastAsia="zh-CN"/>
        </w:rPr>
        <w:t>。</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（二）海南省文联部门</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年政府性基金预算“三公”经费预算数为</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万元，其中：</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 xml:space="preserve"> 因公出国（境）经费</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万元，与上年预算持平；公务用车购置及运行费</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万元（其中，公务用车购置费</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万元，公务用车运行费</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万元），与上年预算持平；公务车保有量</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辆，计划购置</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辆。公务接待费</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万元，与上年预算持平，计划接待</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批</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人。</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五、关于</w:t>
      </w:r>
      <w:r>
        <w:rPr>
          <w:rFonts w:hint="eastAsia" w:ascii="黑体" w:hAnsi="黑体" w:eastAsia="黑体"/>
          <w:sz w:val="32"/>
          <w:szCs w:val="32"/>
          <w:highlight w:val="none"/>
          <w:lang w:eastAsia="zh-CN"/>
        </w:rPr>
        <w:t>海南文联部门</w:t>
      </w:r>
      <w:r>
        <w:rPr>
          <w:rFonts w:hint="eastAsia" w:ascii="黑体" w:hAnsi="黑体" w:eastAsia="黑体"/>
          <w:sz w:val="32"/>
          <w:szCs w:val="32"/>
          <w:highlight w:val="none"/>
          <w:lang w:val="en-US" w:eastAsia="zh-CN"/>
        </w:rPr>
        <w:t>2023</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政府性基金预算当年拨款情况说明</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（一）政府性基金预算当年规模变化情况</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海南文联部门</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年政府性基金预算当年拨款</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万元，与上年持平。</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（二）政府性基金预算当年拨款结构情况</w:t>
      </w:r>
    </w:p>
    <w:p>
      <w:pPr>
        <w:ind w:firstLine="960" w:firstLineChars="300"/>
        <w:jc w:val="left"/>
        <w:rPr>
          <w:rFonts w:hint="eastAsia" w:ascii="仿宋_GB2312" w:hAnsi="黑体" w:eastAsia="仿宋_GB2312" w:cs="仿宋_GB2312"/>
          <w:sz w:val="32"/>
          <w:szCs w:val="32"/>
          <w:highlight w:val="none"/>
          <w:lang w:eastAsia="zh-CN"/>
        </w:rPr>
      </w:pPr>
      <w:r>
        <w:rPr>
          <w:rFonts w:hint="eastAsia" w:ascii="仿宋_GB2312" w:hAnsi="黑体" w:eastAsia="仿宋_GB2312" w:cs="仿宋_GB2312"/>
          <w:sz w:val="32"/>
          <w:szCs w:val="32"/>
          <w:highlight w:val="none"/>
          <w:lang w:eastAsia="zh-CN"/>
        </w:rPr>
        <w:t>无。</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（三）政府性基金预算当年拨款具体使用情况</w:t>
      </w:r>
    </w:p>
    <w:p>
      <w:pPr>
        <w:ind w:firstLine="960" w:firstLineChars="300"/>
        <w:rPr>
          <w:rFonts w:hint="eastAsia" w:ascii="仿宋_GB2312" w:hAnsi="黑体" w:eastAsia="仿宋_GB2312"/>
          <w:sz w:val="32"/>
          <w:szCs w:val="32"/>
          <w:highlight w:val="none"/>
        </w:rPr>
      </w:pPr>
      <w:r>
        <w:rPr>
          <w:rFonts w:hint="eastAsia" w:ascii="仿宋_GB2312" w:hAnsi="黑体" w:eastAsia="仿宋_GB2312" w:cs="仿宋_GB2312"/>
          <w:sz w:val="32"/>
          <w:szCs w:val="32"/>
          <w:highlight w:val="none"/>
          <w:lang w:eastAsia="zh-CN"/>
        </w:rPr>
        <w:t>无。</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六、关于</w:t>
      </w:r>
      <w:r>
        <w:rPr>
          <w:rFonts w:hint="eastAsia" w:ascii="黑体" w:hAnsi="黑体" w:eastAsia="黑体"/>
          <w:sz w:val="32"/>
          <w:szCs w:val="32"/>
          <w:highlight w:val="none"/>
          <w:lang w:eastAsia="zh-CN"/>
        </w:rPr>
        <w:t>海南省文联部门</w:t>
      </w:r>
      <w:r>
        <w:rPr>
          <w:rFonts w:hint="eastAsia" w:ascii="黑体" w:hAnsi="黑体" w:eastAsia="黑体"/>
          <w:sz w:val="32"/>
          <w:szCs w:val="32"/>
          <w:highlight w:val="none"/>
          <w:lang w:val="en-US" w:eastAsia="zh-CN"/>
        </w:rPr>
        <w:t>2023</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收支预算情况的总体说明</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按照综合预算原则，海南省文联部门所有收入和支出均纳入部门预算管理。收入包括：一般公共预算拨款收入、其他收入、上年结转；支出包括：一般公共服务支出、文化旅游体育与传媒支出、社会保障和就业支出、 卫生健康支出、 住房保障支出，结转下年。海南省文联部门年收支总预算2069.88万元。</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七、关于</w:t>
      </w:r>
      <w:r>
        <w:rPr>
          <w:rFonts w:hint="eastAsia" w:ascii="黑体" w:hAnsi="黑体" w:eastAsia="黑体"/>
          <w:sz w:val="32"/>
          <w:szCs w:val="32"/>
          <w:highlight w:val="none"/>
          <w:lang w:eastAsia="zh-CN"/>
        </w:rPr>
        <w:t>海南省文联部门</w:t>
      </w:r>
      <w:r>
        <w:rPr>
          <w:rFonts w:hint="eastAsia" w:ascii="黑体" w:hAnsi="黑体" w:eastAsia="黑体"/>
          <w:sz w:val="32"/>
          <w:szCs w:val="32"/>
          <w:highlight w:val="none"/>
          <w:lang w:val="en-US" w:eastAsia="zh-CN"/>
        </w:rPr>
        <w:t>2023</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收入预算情况说明</w:t>
      </w:r>
    </w:p>
    <w:p>
      <w:pPr>
        <w:ind w:firstLine="640" w:firstLineChars="200"/>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lang w:eastAsia="zh-CN"/>
        </w:rPr>
        <w:t>海南省文联部门</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年收入预算2069.88万元，其中：上年结转</w:t>
      </w:r>
      <w:r>
        <w:rPr>
          <w:rFonts w:hint="eastAsia" w:ascii="仿宋" w:hAnsi="仿宋" w:eastAsia="仿宋" w:cs="仿宋"/>
          <w:sz w:val="32"/>
          <w:szCs w:val="32"/>
          <w:highlight w:val="none"/>
          <w:lang w:val="en-US" w:eastAsia="zh-CN"/>
        </w:rPr>
        <w:t>50万元，</w:t>
      </w:r>
      <w:r>
        <w:rPr>
          <w:rFonts w:hint="eastAsia" w:ascii="仿宋" w:hAnsi="仿宋" w:eastAsia="仿宋" w:cs="仿宋"/>
          <w:sz w:val="32"/>
          <w:szCs w:val="32"/>
          <w:highlight w:val="none"/>
          <w:lang w:eastAsia="zh-CN"/>
        </w:rPr>
        <w:t>占</w:t>
      </w:r>
      <w:r>
        <w:rPr>
          <w:rFonts w:hint="eastAsia" w:ascii="仿宋" w:hAnsi="仿宋" w:eastAsia="仿宋" w:cs="仿宋"/>
          <w:sz w:val="32"/>
          <w:szCs w:val="32"/>
          <w:highlight w:val="none"/>
          <w:lang w:val="en-US" w:eastAsia="zh-CN"/>
        </w:rPr>
        <w:t>2.42</w:t>
      </w:r>
      <w:r>
        <w:rPr>
          <w:rFonts w:hint="eastAsia" w:ascii="仿宋" w:hAnsi="仿宋" w:eastAsia="仿宋" w:cs="仿宋"/>
          <w:sz w:val="32"/>
          <w:szCs w:val="32"/>
          <w:highlight w:val="none"/>
          <w:lang w:eastAsia="zh-CN"/>
        </w:rPr>
        <w:t>%；一般公共预算拨款收入1569.88万元，占</w:t>
      </w:r>
      <w:r>
        <w:rPr>
          <w:rFonts w:hint="eastAsia" w:ascii="仿宋" w:hAnsi="仿宋" w:eastAsia="仿宋" w:cs="仿宋"/>
          <w:sz w:val="32"/>
          <w:szCs w:val="32"/>
          <w:highlight w:val="none"/>
          <w:lang w:val="en-US" w:eastAsia="zh-CN"/>
        </w:rPr>
        <w:t>75.84</w:t>
      </w:r>
      <w:r>
        <w:rPr>
          <w:rFonts w:hint="eastAsia" w:ascii="仿宋" w:hAnsi="仿宋" w:eastAsia="仿宋" w:cs="仿宋"/>
          <w:sz w:val="32"/>
          <w:szCs w:val="32"/>
          <w:highlight w:val="none"/>
          <w:lang w:eastAsia="zh-CN"/>
        </w:rPr>
        <w:t>%；其他收入</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lang w:eastAsia="zh-CN"/>
        </w:rPr>
        <w:t>450万元，占</w:t>
      </w:r>
      <w:r>
        <w:rPr>
          <w:rFonts w:hint="eastAsia" w:ascii="仿宋" w:hAnsi="仿宋" w:eastAsia="仿宋" w:cs="仿宋"/>
          <w:sz w:val="32"/>
          <w:szCs w:val="32"/>
          <w:highlight w:val="none"/>
          <w:lang w:val="en-US" w:eastAsia="zh-CN"/>
        </w:rPr>
        <w:t>21.74</w:t>
      </w:r>
      <w:r>
        <w:rPr>
          <w:rFonts w:hint="eastAsia" w:ascii="仿宋" w:hAnsi="仿宋" w:eastAsia="仿宋" w:cs="仿宋"/>
          <w:sz w:val="32"/>
          <w:szCs w:val="32"/>
          <w:highlight w:val="none"/>
          <w:lang w:eastAsia="zh-CN"/>
        </w:rPr>
        <w:t>%；。比上年预算数减少</w:t>
      </w:r>
      <w:r>
        <w:rPr>
          <w:rFonts w:hint="eastAsia" w:ascii="仿宋" w:hAnsi="仿宋" w:eastAsia="仿宋" w:cs="仿宋"/>
          <w:sz w:val="32"/>
          <w:szCs w:val="32"/>
          <w:highlight w:val="none"/>
          <w:lang w:val="en-US" w:eastAsia="zh-CN"/>
        </w:rPr>
        <w:t>942.98</w:t>
      </w:r>
      <w:r>
        <w:rPr>
          <w:rFonts w:hint="eastAsia" w:ascii="仿宋" w:hAnsi="仿宋" w:eastAsia="仿宋" w:cs="仿宋"/>
          <w:sz w:val="32"/>
          <w:szCs w:val="32"/>
          <w:highlight w:val="none"/>
          <w:lang w:eastAsia="zh-CN"/>
        </w:rPr>
        <w:t>万元，</w:t>
      </w:r>
      <w:r>
        <w:rPr>
          <w:rFonts w:hint="eastAsia" w:ascii="仿宋" w:hAnsi="仿宋" w:eastAsia="仿宋" w:cs="仿宋"/>
          <w:sz w:val="32"/>
          <w:szCs w:val="32"/>
          <w:highlight w:val="none"/>
          <w:u w:val="none"/>
          <w:lang w:eastAsia="zh-CN"/>
        </w:rPr>
        <w:t>主要原因：一是</w:t>
      </w:r>
      <w:r>
        <w:rPr>
          <w:rFonts w:hint="eastAsia" w:ascii="仿宋" w:hAnsi="仿宋" w:eastAsia="仿宋" w:cs="仿宋"/>
          <w:sz w:val="32"/>
          <w:szCs w:val="32"/>
          <w:highlight w:val="none"/>
          <w:u w:val="none"/>
          <w:lang w:val="en-US" w:eastAsia="zh-CN"/>
        </w:rPr>
        <w:t>2023年全省财力紧张，除保障“三保”支出，统筹分配至各部门的项目支出预算数较往年大幅减；二是2023年省文联本级实有资金账户的省级文艺家协会自有资金编制的其他收入预算较2022年有所减少。</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八、关于</w:t>
      </w:r>
      <w:r>
        <w:rPr>
          <w:rFonts w:hint="eastAsia" w:ascii="黑体" w:hAnsi="黑体" w:eastAsia="黑体"/>
          <w:sz w:val="32"/>
          <w:szCs w:val="32"/>
          <w:highlight w:val="none"/>
          <w:lang w:eastAsia="zh-CN"/>
        </w:rPr>
        <w:t>海南省文联部门</w:t>
      </w:r>
      <w:r>
        <w:rPr>
          <w:rFonts w:hint="eastAsia" w:ascii="黑体" w:hAnsi="黑体" w:eastAsia="黑体"/>
          <w:sz w:val="32"/>
          <w:szCs w:val="32"/>
          <w:highlight w:val="none"/>
          <w:lang w:val="en-US" w:eastAsia="zh-CN"/>
        </w:rPr>
        <w:t>2023</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支出预算情况说明</w:t>
      </w:r>
    </w:p>
    <w:p>
      <w:pPr>
        <w:ind w:firstLine="640" w:firstLineChars="200"/>
        <w:rPr>
          <w:rFonts w:hint="default" w:ascii="仿宋_GB2312" w:hAnsi="黑体" w:eastAsia="仿宋_GB2312"/>
          <w:sz w:val="32"/>
          <w:szCs w:val="32"/>
          <w:highlight w:val="none"/>
          <w:lang w:val="en-US" w:eastAsia="zh-CN"/>
        </w:rPr>
      </w:pPr>
      <w:r>
        <w:rPr>
          <w:rFonts w:hint="eastAsia" w:ascii="仿宋" w:hAnsi="仿宋" w:eastAsia="仿宋" w:cs="仿宋"/>
          <w:sz w:val="32"/>
          <w:szCs w:val="32"/>
          <w:highlight w:val="none"/>
          <w:lang w:eastAsia="zh-CN"/>
        </w:rPr>
        <w:t>海南省文联部门</w:t>
      </w:r>
      <w:r>
        <w:rPr>
          <w:rFonts w:hint="eastAsia" w:ascii="仿宋" w:hAnsi="仿宋" w:eastAsia="仿宋" w:cs="仿宋"/>
          <w:sz w:val="32"/>
          <w:szCs w:val="32"/>
          <w:highlight w:val="none"/>
          <w:lang w:val="en-US" w:eastAsia="zh-CN"/>
        </w:rPr>
        <w:t>2023</w:t>
      </w:r>
      <w:r>
        <w:rPr>
          <w:rFonts w:hint="eastAsia" w:ascii="仿宋" w:hAnsi="仿宋" w:eastAsia="仿宋" w:cs="仿宋"/>
          <w:sz w:val="32"/>
          <w:szCs w:val="32"/>
          <w:highlight w:val="none"/>
          <w:lang w:eastAsia="zh-CN"/>
        </w:rPr>
        <w:t>年支出预算</w:t>
      </w:r>
      <w:r>
        <w:rPr>
          <w:rFonts w:hint="eastAsia" w:ascii="仿宋" w:hAnsi="仿宋" w:eastAsia="仿宋" w:cs="仿宋"/>
          <w:sz w:val="32"/>
          <w:szCs w:val="32"/>
          <w:highlight w:val="none"/>
          <w:lang w:val="en-US" w:eastAsia="zh-CN"/>
        </w:rPr>
        <w:t>2069</w:t>
      </w:r>
      <w:r>
        <w:rPr>
          <w:rFonts w:hint="eastAsia" w:ascii="仿宋" w:hAnsi="仿宋" w:eastAsia="仿宋" w:cs="仿宋"/>
          <w:sz w:val="32"/>
          <w:szCs w:val="32"/>
          <w:highlight w:val="none"/>
          <w:lang w:eastAsia="zh-CN"/>
        </w:rPr>
        <w:t>.88万元，其中：基本支出</w:t>
      </w:r>
      <w:r>
        <w:rPr>
          <w:rFonts w:hint="eastAsia" w:ascii="仿宋" w:hAnsi="仿宋" w:eastAsia="仿宋" w:cs="仿宋"/>
          <w:sz w:val="32"/>
          <w:szCs w:val="32"/>
          <w:highlight w:val="none"/>
          <w:lang w:val="en-US" w:eastAsia="zh-CN"/>
        </w:rPr>
        <w:t>946.28</w:t>
      </w:r>
      <w:r>
        <w:rPr>
          <w:rFonts w:hint="eastAsia" w:ascii="仿宋" w:hAnsi="仿宋" w:eastAsia="仿宋" w:cs="仿宋"/>
          <w:sz w:val="32"/>
          <w:szCs w:val="32"/>
          <w:highlight w:val="none"/>
          <w:lang w:eastAsia="zh-CN"/>
        </w:rPr>
        <w:t>万元，占</w:t>
      </w:r>
      <w:r>
        <w:rPr>
          <w:rFonts w:hint="eastAsia" w:ascii="仿宋" w:hAnsi="仿宋" w:eastAsia="仿宋" w:cs="仿宋"/>
          <w:sz w:val="32"/>
          <w:szCs w:val="32"/>
          <w:highlight w:val="none"/>
          <w:lang w:val="en-US" w:eastAsia="zh-CN"/>
        </w:rPr>
        <w:t>45.72</w:t>
      </w:r>
      <w:r>
        <w:rPr>
          <w:rFonts w:hint="eastAsia" w:ascii="仿宋" w:hAnsi="仿宋" w:eastAsia="仿宋" w:cs="仿宋"/>
          <w:sz w:val="32"/>
          <w:szCs w:val="32"/>
          <w:highlight w:val="none"/>
          <w:lang w:eastAsia="zh-CN"/>
        </w:rPr>
        <w:t>%；项目支出</w:t>
      </w:r>
      <w:r>
        <w:rPr>
          <w:rFonts w:hint="eastAsia" w:ascii="仿宋" w:hAnsi="仿宋" w:eastAsia="仿宋" w:cs="仿宋"/>
          <w:sz w:val="32"/>
          <w:szCs w:val="32"/>
          <w:highlight w:val="none"/>
          <w:lang w:val="en-US" w:eastAsia="zh-CN"/>
        </w:rPr>
        <w:t>637.60</w:t>
      </w:r>
      <w:r>
        <w:rPr>
          <w:rFonts w:hint="eastAsia" w:ascii="仿宋" w:hAnsi="仿宋" w:eastAsia="仿宋" w:cs="仿宋"/>
          <w:sz w:val="32"/>
          <w:szCs w:val="32"/>
          <w:highlight w:val="none"/>
          <w:lang w:eastAsia="zh-CN"/>
        </w:rPr>
        <w:t>万元，占</w:t>
      </w:r>
      <w:r>
        <w:rPr>
          <w:rFonts w:hint="eastAsia" w:ascii="仿宋" w:hAnsi="仿宋" w:eastAsia="仿宋" w:cs="仿宋"/>
          <w:sz w:val="32"/>
          <w:szCs w:val="32"/>
          <w:highlight w:val="none"/>
          <w:lang w:val="en-US" w:eastAsia="zh-CN"/>
        </w:rPr>
        <w:t>32.54</w:t>
      </w:r>
      <w:r>
        <w:rPr>
          <w:rFonts w:hint="eastAsia" w:ascii="仿宋" w:hAnsi="仿宋" w:eastAsia="仿宋" w:cs="仿宋"/>
          <w:sz w:val="32"/>
          <w:szCs w:val="32"/>
          <w:highlight w:val="none"/>
          <w:lang w:eastAsia="zh-CN"/>
        </w:rPr>
        <w:t>%；结转下年</w:t>
      </w:r>
      <w:r>
        <w:rPr>
          <w:rFonts w:hint="eastAsia" w:ascii="仿宋" w:hAnsi="仿宋" w:eastAsia="仿宋" w:cs="仿宋"/>
          <w:sz w:val="32"/>
          <w:szCs w:val="32"/>
          <w:highlight w:val="none"/>
          <w:lang w:val="en-US" w:eastAsia="zh-CN"/>
        </w:rPr>
        <w:t>450万元，占21.74</w:t>
      </w:r>
      <w:r>
        <w:rPr>
          <w:rFonts w:hint="eastAsia" w:ascii="仿宋" w:hAnsi="仿宋" w:eastAsia="仿宋" w:cs="仿宋"/>
          <w:sz w:val="32"/>
          <w:szCs w:val="32"/>
          <w:highlight w:val="none"/>
          <w:lang w:eastAsia="zh-CN"/>
        </w:rPr>
        <w:t>%。比上年预算数减少</w:t>
      </w:r>
      <w:r>
        <w:rPr>
          <w:rFonts w:hint="eastAsia" w:ascii="仿宋" w:hAnsi="仿宋" w:eastAsia="仿宋" w:cs="仿宋"/>
          <w:sz w:val="32"/>
          <w:szCs w:val="32"/>
          <w:highlight w:val="none"/>
          <w:lang w:val="en-US" w:eastAsia="zh-CN"/>
        </w:rPr>
        <w:t>942.98</w:t>
      </w:r>
      <w:r>
        <w:rPr>
          <w:rFonts w:hint="eastAsia" w:ascii="仿宋" w:hAnsi="仿宋" w:eastAsia="仿宋" w:cs="仿宋"/>
          <w:sz w:val="32"/>
          <w:szCs w:val="32"/>
          <w:highlight w:val="none"/>
          <w:lang w:eastAsia="zh-CN"/>
        </w:rPr>
        <w:t>万元，主要原因：一是</w:t>
      </w:r>
      <w:r>
        <w:rPr>
          <w:rFonts w:hint="eastAsia" w:ascii="仿宋" w:hAnsi="仿宋" w:eastAsia="仿宋" w:cs="仿宋"/>
          <w:sz w:val="32"/>
          <w:szCs w:val="32"/>
          <w:highlight w:val="none"/>
          <w:u w:val="none"/>
          <w:lang w:eastAsia="zh-CN"/>
        </w:rPr>
        <w:t>因为</w:t>
      </w:r>
      <w:r>
        <w:rPr>
          <w:rFonts w:hint="eastAsia" w:ascii="仿宋" w:hAnsi="仿宋" w:eastAsia="仿宋" w:cs="仿宋"/>
          <w:sz w:val="32"/>
          <w:szCs w:val="32"/>
          <w:highlight w:val="none"/>
          <w:u w:val="none"/>
          <w:lang w:val="en-US" w:eastAsia="zh-CN"/>
        </w:rPr>
        <w:t>2023年全省财力紧张，除保障“三保”支出，统筹分配至各部门的项目支出预算数较往年大幅减少；二、实有资金中各省级文艺家协会的事业支出数较2022年有所减少。</w:t>
      </w:r>
      <w:r>
        <w:rPr>
          <w:rFonts w:hint="eastAsia" w:ascii="仿宋" w:hAnsi="仿宋" w:eastAsia="仿宋" w:cs="仿宋"/>
          <w:sz w:val="32"/>
          <w:szCs w:val="32"/>
          <w:highlight w:val="none"/>
          <w:lang w:val="en-US" w:eastAsia="zh-CN"/>
        </w:rPr>
        <w:t xml:space="preserve">  </w:t>
      </w:r>
      <w:r>
        <w:rPr>
          <w:rFonts w:hint="eastAsia" w:ascii="仿宋_GB2312" w:hAnsi="黑体" w:eastAsia="仿宋_GB2312"/>
          <w:sz w:val="32"/>
          <w:szCs w:val="32"/>
          <w:highlight w:val="none"/>
          <w:u w:val="none"/>
          <w:lang w:val="en-US" w:eastAsia="zh-CN"/>
        </w:rPr>
        <w:t xml:space="preserve">                                </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九、其他重要事项的情况说明</w:t>
      </w:r>
    </w:p>
    <w:p>
      <w:pPr>
        <w:ind w:firstLine="640" w:firstLineChars="200"/>
        <w:rPr>
          <w:rFonts w:ascii="楷体" w:hAnsi="楷体" w:eastAsia="楷体"/>
          <w:sz w:val="32"/>
          <w:szCs w:val="32"/>
          <w:highlight w:val="none"/>
        </w:rPr>
      </w:pPr>
      <w:r>
        <w:rPr>
          <w:rFonts w:hint="eastAsia" w:ascii="楷体" w:hAnsi="楷体" w:eastAsia="楷体"/>
          <w:sz w:val="32"/>
          <w:szCs w:val="32"/>
          <w:highlight w:val="none"/>
        </w:rPr>
        <w:t>（一）机关运行经费</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海南省文联本级、海南省书画院的机关运行经费预算</w:t>
      </w:r>
      <w:r>
        <w:rPr>
          <w:rFonts w:hint="eastAsia" w:ascii="仿宋" w:hAnsi="仿宋" w:eastAsia="仿宋" w:cs="仿宋"/>
          <w:sz w:val="32"/>
          <w:szCs w:val="32"/>
          <w:highlight w:val="none"/>
          <w:lang w:val="en-US" w:eastAsia="zh-CN"/>
        </w:rPr>
        <w:t>120.17</w:t>
      </w:r>
      <w:r>
        <w:rPr>
          <w:rFonts w:hint="eastAsia" w:ascii="仿宋" w:hAnsi="仿宋" w:eastAsia="仿宋" w:cs="仿宋"/>
          <w:sz w:val="32"/>
          <w:szCs w:val="32"/>
          <w:highlight w:val="none"/>
          <w:lang w:eastAsia="zh-CN"/>
        </w:rPr>
        <w:t>万元。</w:t>
      </w:r>
    </w:p>
    <w:p>
      <w:pPr>
        <w:ind w:firstLine="640" w:firstLineChars="200"/>
        <w:rPr>
          <w:rFonts w:ascii="楷体" w:hAnsi="楷体" w:eastAsia="楷体"/>
          <w:sz w:val="32"/>
          <w:szCs w:val="32"/>
          <w:highlight w:val="none"/>
        </w:rPr>
      </w:pPr>
      <w:r>
        <w:rPr>
          <w:rFonts w:hint="eastAsia" w:ascii="楷体" w:hAnsi="楷体" w:eastAsia="楷体"/>
          <w:sz w:val="32"/>
          <w:szCs w:val="32"/>
          <w:highlight w:val="none"/>
        </w:rPr>
        <w:t>（二）政府采购情况</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2023年海南省文联部门</w:t>
      </w:r>
      <w:r>
        <w:rPr>
          <w:rFonts w:hint="eastAsia" w:ascii="仿宋" w:hAnsi="仿宋" w:eastAsia="仿宋" w:cs="仿宋"/>
          <w:sz w:val="32"/>
          <w:szCs w:val="32"/>
          <w:highlight w:val="none"/>
          <w:lang w:eastAsia="zh-CN"/>
        </w:rPr>
        <w:t>政府采购预算总额</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万元，其中：</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lang w:eastAsia="zh-CN"/>
        </w:rPr>
        <w:t>政府采购货物预算</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万元，政府采购工程预算</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万元，政府采购服务预算</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万元。</w:t>
      </w:r>
    </w:p>
    <w:p>
      <w:pPr>
        <w:ind w:firstLine="640" w:firstLineChars="200"/>
        <w:rPr>
          <w:rFonts w:ascii="楷体" w:hAnsi="楷体" w:eastAsia="楷体"/>
          <w:sz w:val="32"/>
          <w:szCs w:val="32"/>
          <w:highlight w:val="none"/>
        </w:rPr>
      </w:pPr>
      <w:r>
        <w:rPr>
          <w:rFonts w:hint="eastAsia" w:ascii="楷体" w:hAnsi="楷体" w:eastAsia="楷体"/>
          <w:sz w:val="32"/>
          <w:szCs w:val="32"/>
          <w:highlight w:val="none"/>
        </w:rPr>
        <w:t>（三）国有资产占有使用情况</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截至</w:t>
      </w:r>
      <w:r>
        <w:rPr>
          <w:rFonts w:hint="eastAsia" w:ascii="仿宋" w:hAnsi="仿宋" w:eastAsia="仿宋" w:cs="仿宋"/>
          <w:sz w:val="32"/>
          <w:szCs w:val="32"/>
          <w:highlight w:val="none"/>
          <w:lang w:val="en-US" w:eastAsia="zh-CN"/>
        </w:rPr>
        <w:t>2022</w:t>
      </w:r>
      <w:r>
        <w:rPr>
          <w:rFonts w:hint="eastAsia" w:ascii="仿宋" w:hAnsi="仿宋" w:eastAsia="仿宋" w:cs="仿宋"/>
          <w:sz w:val="32"/>
          <w:szCs w:val="32"/>
          <w:highlight w:val="none"/>
          <w:lang w:eastAsia="zh-CN"/>
        </w:rPr>
        <w:t>年12月31日，海南省文联部门共有车辆</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lang w:eastAsia="zh-CN"/>
        </w:rPr>
        <w:t>辆，其中，领导干部用车</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lang w:eastAsia="zh-CN"/>
        </w:rPr>
        <w:t>辆，机要通信应急用车</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lang w:eastAsia="zh-CN"/>
        </w:rPr>
        <w:t>辆。单位价值100万元以上设备</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eastAsia="zh-CN"/>
        </w:rPr>
        <w:t>台（套）。</w:t>
      </w:r>
    </w:p>
    <w:p>
      <w:pPr>
        <w:ind w:firstLine="640" w:firstLineChars="200"/>
        <w:rPr>
          <w:rFonts w:ascii="楷体" w:hAnsi="楷体" w:eastAsia="楷体"/>
          <w:sz w:val="32"/>
          <w:szCs w:val="32"/>
          <w:highlight w:val="none"/>
        </w:rPr>
      </w:pPr>
      <w:r>
        <w:rPr>
          <w:rFonts w:hint="eastAsia" w:ascii="楷体" w:hAnsi="楷体" w:eastAsia="楷体"/>
          <w:sz w:val="32"/>
          <w:szCs w:val="32"/>
          <w:highlight w:val="none"/>
        </w:rPr>
        <w:t>（四）绩效目标设置情况</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2023年海南省文联部门12</w:t>
      </w:r>
      <w:r>
        <w:rPr>
          <w:rFonts w:hint="eastAsia" w:ascii="仿宋" w:hAnsi="仿宋" w:eastAsia="仿宋" w:cs="仿宋"/>
          <w:sz w:val="32"/>
          <w:szCs w:val="32"/>
          <w:highlight w:val="none"/>
          <w:lang w:eastAsia="zh-CN"/>
        </w:rPr>
        <w:t>个项目实行绩效目标管理，涉及一般公共预算</w:t>
      </w:r>
      <w:r>
        <w:rPr>
          <w:rFonts w:hint="eastAsia" w:ascii="仿宋" w:hAnsi="仿宋" w:eastAsia="仿宋" w:cs="仿宋"/>
          <w:sz w:val="32"/>
          <w:szCs w:val="32"/>
          <w:highlight w:val="none"/>
          <w:lang w:val="en-US" w:eastAsia="zh-CN"/>
        </w:rPr>
        <w:t>623.6</w:t>
      </w:r>
      <w:r>
        <w:rPr>
          <w:rFonts w:hint="eastAsia" w:ascii="仿宋" w:hAnsi="仿宋" w:eastAsia="仿宋" w:cs="仿宋"/>
          <w:sz w:val="32"/>
          <w:szCs w:val="32"/>
          <w:highlight w:val="none"/>
          <w:lang w:eastAsia="zh-CN"/>
        </w:rPr>
        <w:t>万元、自有资金</w:t>
      </w:r>
      <w:r>
        <w:rPr>
          <w:rFonts w:hint="eastAsia" w:ascii="仿宋" w:hAnsi="仿宋" w:eastAsia="仿宋" w:cs="仿宋"/>
          <w:sz w:val="32"/>
          <w:szCs w:val="32"/>
          <w:highlight w:val="none"/>
          <w:lang w:val="en-US" w:eastAsia="zh-CN"/>
        </w:rPr>
        <w:t>50</w:t>
      </w:r>
      <w:r>
        <w:rPr>
          <w:rFonts w:hint="eastAsia" w:ascii="仿宋" w:hAnsi="仿宋" w:eastAsia="仿宋" w:cs="仿宋"/>
          <w:sz w:val="32"/>
          <w:szCs w:val="32"/>
          <w:highlight w:val="none"/>
          <w:lang w:eastAsia="zh-CN"/>
        </w:rPr>
        <w:t>万元。</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其中，重点项目预算绩效情况：</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1.“文艺赛事与活动”</w:t>
      </w:r>
      <w:r>
        <w:rPr>
          <w:rFonts w:hint="eastAsia" w:ascii="仿宋" w:hAnsi="仿宋" w:eastAsia="仿宋" w:cs="仿宋"/>
          <w:sz w:val="32"/>
          <w:szCs w:val="32"/>
          <w:highlight w:val="none"/>
          <w:lang w:eastAsia="zh-CN"/>
        </w:rPr>
        <w:t>项目，预算数</w:t>
      </w:r>
      <w:r>
        <w:rPr>
          <w:rFonts w:hint="eastAsia" w:ascii="仿宋" w:hAnsi="仿宋" w:eastAsia="仿宋" w:cs="仿宋"/>
          <w:sz w:val="32"/>
          <w:szCs w:val="32"/>
          <w:highlight w:val="none"/>
          <w:lang w:val="en-US" w:eastAsia="zh-CN"/>
        </w:rPr>
        <w:t>110</w:t>
      </w:r>
      <w:r>
        <w:rPr>
          <w:rFonts w:hint="eastAsia" w:ascii="仿宋" w:hAnsi="仿宋" w:eastAsia="仿宋" w:cs="仿宋"/>
          <w:sz w:val="32"/>
          <w:szCs w:val="32"/>
          <w:highlight w:val="none"/>
          <w:lang w:eastAsia="zh-CN"/>
        </w:rPr>
        <w:t>万元，主要用于第五届南海文艺奖支出，绩效目标是完满完成第五届南海文艺奖的评选工作。</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lang w:eastAsia="zh-CN"/>
        </w:rPr>
        <w:t>廉洁文化建设活动”项目，预算数</w:t>
      </w:r>
      <w:r>
        <w:rPr>
          <w:rFonts w:hint="eastAsia" w:ascii="仿宋" w:hAnsi="仿宋" w:eastAsia="仿宋" w:cs="仿宋"/>
          <w:sz w:val="32"/>
          <w:szCs w:val="32"/>
          <w:highlight w:val="none"/>
          <w:lang w:val="en-US" w:eastAsia="zh-CN"/>
        </w:rPr>
        <w:t>40</w:t>
      </w:r>
      <w:r>
        <w:rPr>
          <w:rFonts w:hint="eastAsia" w:ascii="仿宋" w:hAnsi="仿宋" w:eastAsia="仿宋" w:cs="仿宋"/>
          <w:sz w:val="32"/>
          <w:szCs w:val="32"/>
          <w:highlight w:val="none"/>
          <w:lang w:eastAsia="zh-CN"/>
        </w:rPr>
        <w:t>万元，主要用于举办廉洁文化系列活动。绩效目标是举办廉洁文化书画展、曲艺专场、琼剧专场以及综合演出。通过征集作品，推选出至少2部微视频或微电影，在微信公众号、微博、海南文艺网展播，或推选到省纪委、省直机关工委参加相关活动。</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3.</w:t>
      </w:r>
      <w:r>
        <w:rPr>
          <w:rFonts w:hint="default" w:ascii="仿宋" w:hAnsi="仿宋" w:eastAsia="仿宋" w:cs="仿宋"/>
          <w:sz w:val="32"/>
          <w:szCs w:val="32"/>
          <w:highlight w:val="none"/>
          <w:lang w:val="en-US" w:eastAsia="zh-CN"/>
        </w:rPr>
        <w:t>文艺</w:t>
      </w:r>
      <w:r>
        <w:rPr>
          <w:rFonts w:hint="eastAsia" w:ascii="仿宋" w:hAnsi="仿宋" w:eastAsia="仿宋" w:cs="仿宋"/>
          <w:sz w:val="32"/>
          <w:szCs w:val="32"/>
          <w:highlight w:val="none"/>
          <w:lang w:val="en-US" w:eastAsia="zh-CN"/>
        </w:rPr>
        <w:t>采风及交流</w:t>
      </w:r>
      <w:r>
        <w:rPr>
          <w:rFonts w:hint="eastAsia" w:ascii="仿宋" w:hAnsi="仿宋" w:eastAsia="仿宋" w:cs="仿宋"/>
          <w:sz w:val="32"/>
          <w:szCs w:val="32"/>
          <w:highlight w:val="none"/>
          <w:lang w:eastAsia="zh-CN"/>
        </w:rPr>
        <w:t>项目，预算安排</w:t>
      </w:r>
      <w:r>
        <w:rPr>
          <w:rFonts w:hint="eastAsia" w:ascii="仿宋" w:hAnsi="仿宋" w:eastAsia="仿宋" w:cs="仿宋"/>
          <w:sz w:val="32"/>
          <w:szCs w:val="32"/>
          <w:highlight w:val="none"/>
          <w:lang w:val="en-US" w:eastAsia="zh-CN"/>
        </w:rPr>
        <w:t>100</w:t>
      </w:r>
      <w:r>
        <w:rPr>
          <w:rFonts w:hint="eastAsia" w:ascii="仿宋" w:hAnsi="仿宋" w:eastAsia="仿宋" w:cs="仿宋"/>
          <w:sz w:val="32"/>
          <w:szCs w:val="32"/>
          <w:highlight w:val="none"/>
          <w:lang w:eastAsia="zh-CN"/>
        </w:rPr>
        <w:t>万元，主要用于全国第三届老年书法展、《暖春》油画创作等活动，绩效目标是开展相关文艺创作和展演，展现海南自贸港文艺名片。</w:t>
      </w:r>
    </w:p>
    <w:p>
      <w:pPr>
        <w:ind w:firstLine="640" w:firstLineChars="200"/>
        <w:rPr>
          <w:rFonts w:hint="eastAsia" w:ascii="仿宋_GB2312" w:hAnsi="黑体" w:eastAsia="仿宋_GB2312" w:cs="仿宋_GB2312"/>
          <w:sz w:val="32"/>
          <w:szCs w:val="32"/>
          <w:highlight w:val="none"/>
          <w:u w:val="none"/>
          <w:lang w:eastAsia="zh-CN"/>
        </w:rPr>
      </w:pPr>
    </w:p>
    <w:p>
      <w:pPr>
        <w:numPr>
          <w:ilvl w:val="0"/>
          <w:numId w:val="8"/>
        </w:numPr>
        <w:jc w:val="center"/>
        <w:rPr>
          <w:rFonts w:hint="eastAsia" w:ascii="黑体" w:hAnsi="黑体" w:eastAsia="黑体"/>
          <w:b/>
          <w:sz w:val="32"/>
          <w:szCs w:val="32"/>
          <w:highlight w:val="none"/>
        </w:rPr>
      </w:pPr>
      <w:r>
        <w:rPr>
          <w:rFonts w:hint="eastAsia" w:ascii="黑体" w:hAnsi="黑体" w:eastAsia="黑体"/>
          <w:b/>
          <w:sz w:val="32"/>
          <w:szCs w:val="32"/>
          <w:highlight w:val="none"/>
        </w:rPr>
        <w:t xml:space="preserve"> 名词解释</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一、财政拨款收入：指本级财政当年拨付的资金。</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二、一般公共预算拨款收入：指用于反映税收收入、专项收入、行政事业性收费收入、罚没收入、国有资源（资产）有偿使用收入、政府住房基金收入、捐赠收入等财政收入。</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 xml:space="preserve">四、事业收入：指用于反映事业单位开展专业业务活动及辅助活动所取得的收入。 </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五、事业单位经营收入：指用于反映事业单位在专业活动及辅助活动之外开展非独立核算经营活动取得的收入。</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六、其他收入：指除上述“财政拨款收入”“事业收入”“经营收入”等以外的收入。</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七、上年结转：指以前年度尚未完成、结转到本年按有关规定继续使用的资金。</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八、基本支出：指行政事业单位用于为保障其机构正常运转、完成日常工作任务而发生的人员支出和公用支出。</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九、工资福利支出：反映单位开支的在职职工和编制外长期聘用人员的各类劳动报酬，以及为上述人员缴纳的各项社会保险费等。</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十、对个人和家庭的补助支出：反映政府用于对个人和家庭的补助支出，包括离休费、退休费、退职（役）费、抚恤金、生活补助、救济费、医疗费补助、助学金、独生子女奖励金、其他等。</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十二、项目支出：指各部门、各单位为完成其特定的工作任务和事业发展目标所发生的支出。</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hint="eastAsia" w:ascii="仿宋" w:hAnsi="仿宋" w:eastAsia="仿宋" w:cs="仿宋"/>
          <w:sz w:val="32"/>
          <w:szCs w:val="32"/>
          <w:highlight w:val="none"/>
          <w:lang w:eastAsia="zh-CN"/>
        </w:rPr>
      </w:pPr>
    </w:p>
    <w:p>
      <w:pPr>
        <w:ind w:firstLine="640" w:firstLineChars="200"/>
        <w:rPr>
          <w:rFonts w:hint="eastAsia" w:ascii="仿宋" w:hAnsi="仿宋" w:eastAsia="仿宋" w:cs="仿宋"/>
          <w:sz w:val="32"/>
          <w:szCs w:val="32"/>
          <w:highlight w:val="none"/>
          <w:lang w:eastAsia="zh-CN"/>
        </w:rPr>
      </w:pPr>
    </w:p>
    <w:p>
      <w:pPr>
        <w:spacing w:line="560" w:lineRule="exact"/>
        <w:jc w:val="center"/>
        <w:rPr>
          <w:rFonts w:ascii="方正小标宋简体" w:hAnsi="黑体" w:eastAsia="方正小标宋简体"/>
          <w:sz w:val="44"/>
          <w:szCs w:val="44"/>
        </w:rPr>
      </w:pPr>
    </w:p>
    <w:p>
      <w:pPr>
        <w:spacing w:line="560" w:lineRule="exact"/>
        <w:jc w:val="center"/>
        <w:rPr>
          <w:rFonts w:ascii="方正小标宋简体" w:hAnsi="黑体" w:eastAsia="方正小标宋简体"/>
          <w:sz w:val="44"/>
          <w:szCs w:val="44"/>
        </w:rPr>
      </w:pPr>
    </w:p>
    <w:p>
      <w:pPr>
        <w:spacing w:line="560" w:lineRule="exact"/>
        <w:jc w:val="center"/>
        <w:rPr>
          <w:rFonts w:ascii="方正小标宋简体" w:hAnsi="黑体" w:eastAsia="方正小标宋简体"/>
          <w:sz w:val="44"/>
          <w:szCs w:val="44"/>
        </w:rPr>
      </w:pPr>
    </w:p>
    <w:p>
      <w:pPr>
        <w:autoSpaceDE w:val="0"/>
        <w:spacing w:line="500" w:lineRule="exact"/>
        <w:rPr>
          <w:rFonts w:ascii="仿宋" w:hAnsi="仿宋" w:eastAsia="仿宋" w:cs="仿宋"/>
          <w:color w:val="000008"/>
          <w:sz w:val="32"/>
          <w:szCs w:val="32"/>
        </w:rPr>
      </w:pPr>
    </w:p>
    <w:sectPr>
      <w:footerReference r:id="rId3" w:type="default"/>
      <w:pgSz w:w="11906" w:h="16838"/>
      <w:pgMar w:top="1701" w:right="1474" w:bottom="1701" w:left="1474" w:header="0" w:footer="1032"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A00002EF" w:usb1="4000004B" w:usb2="00000000" w:usb3="00000000" w:csb0="2000019F" w:csb1="00000000"/>
  </w:font>
  <w:font w:name="Times New Roman (标题 CS)">
    <w:altName w:val="宋体"/>
    <w:panose1 w:val="00000000000000000000"/>
    <w:charset w:val="86"/>
    <w:family w:val="auto"/>
    <w:pitch w:val="default"/>
    <w:sig w:usb0="00000000" w:usb1="00000000" w:usb2="00000000" w:usb3="00000000" w:csb0="00040001" w:csb1="00000000"/>
  </w:font>
  <w:font w:name="Times New Roman (正文 CS 字体)">
    <w:altName w:val="宋体"/>
    <w:panose1 w:val="00000000000000000000"/>
    <w:charset w:val="86"/>
    <w:family w:val="auto"/>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436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t>- 2 -</w:t>
                          </w:r>
                          <w:r>
                            <w:rPr>
                              <w:rFonts w:ascii="Times New Roman" w:hAnsi="Times New Roman" w:cs="Times New Roman"/>
                              <w:sz w:val="28"/>
                              <w:szCs w:val="28"/>
                            </w:rPr>
                            <w:fldChar w:fldCharType="end"/>
                          </w:r>
                        </w:p>
                      </w:txbxContent>
                    </wps:txbx>
                    <wps:bodyPr wrap="none" lIns="0" tIns="0" rIns="0" bIns="0" upright="0">
                      <a:spAutoFit/>
                    </wps:bodyPr>
                  </wps:wsp>
                </a:graphicData>
              </a:graphic>
            </wp:anchor>
          </w:drawing>
        </mc:Choice>
        <mc:Fallback>
          <w:pict>
            <v:shape id="文本框 1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IC9dzvOAQAAqAMAAA4AAAAAAAAAAQAgAAAAHgEAAGRycy9l&#10;Mm9Eb2MueG1sUEsFBgAAAAAGAAYAWQEAAF4FAAAAAA==&#10;">
              <v:fill on="f" focussize="0,0"/>
              <v:stroke on="f"/>
              <v:imagedata o:title=""/>
              <o:lock v:ext="edit" aspectratio="f"/>
              <v:textbox inset="0mm,0mm,0mm,0mm" style="mso-fit-shape-to-text:t;">
                <w:txbxContent>
                  <w:p>
                    <w:pPr>
                      <w:snapToGrid w:val="0"/>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t>- 2 -</w:t>
                    </w:r>
                    <w:r>
                      <w:rPr>
                        <w:rFonts w:ascii="Times New Roman" w:hAnsi="Times New Roman" w:cs="Times New Roman"/>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267B7"/>
    <w:multiLevelType w:val="singleLevel"/>
    <w:tmpl w:val="805267B7"/>
    <w:lvl w:ilvl="0" w:tentative="0">
      <w:start w:val="6"/>
      <w:numFmt w:val="decimal"/>
      <w:suff w:val="space"/>
      <w:lvlText w:val="(%1)"/>
      <w:lvlJc w:val="left"/>
    </w:lvl>
  </w:abstractNum>
  <w:abstractNum w:abstractNumId="1">
    <w:nsid w:val="E7E86DBC"/>
    <w:multiLevelType w:val="singleLevel"/>
    <w:tmpl w:val="E7E86DBC"/>
    <w:lvl w:ilvl="0" w:tentative="0">
      <w:start w:val="4"/>
      <w:numFmt w:val="chineseCounting"/>
      <w:suff w:val="space"/>
      <w:lvlText w:val="第%1部分"/>
      <w:lvlJc w:val="left"/>
      <w:rPr>
        <w:rFonts w:hint="eastAsia"/>
      </w:rPr>
    </w:lvl>
  </w:abstractNum>
  <w:abstractNum w:abstractNumId="2">
    <w:nsid w:val="0053208E"/>
    <w:multiLevelType w:val="multilevel"/>
    <w:tmpl w:val="0053208E"/>
    <w:lvl w:ilvl="0" w:tentative="0">
      <w:start w:val="1"/>
      <w:numFmt w:val="decimal"/>
      <w:lvlText w:val="（%1）"/>
      <w:lvlJc w:val="left"/>
      <w:pPr>
        <w:ind w:left="120" w:hanging="819"/>
      </w:pPr>
      <w:rPr>
        <w:rFonts w:hint="default" w:ascii="仿宋" w:hAnsi="仿宋" w:eastAsia="仿宋" w:cs="仿宋"/>
        <w:spacing w:val="5"/>
        <w:w w:val="99"/>
        <w:sz w:val="30"/>
        <w:szCs w:val="30"/>
        <w:lang w:val="zh-CN" w:eastAsia="zh-CN" w:bidi="zh-CN"/>
      </w:rPr>
    </w:lvl>
    <w:lvl w:ilvl="1" w:tentative="0">
      <w:start w:val="0"/>
      <w:numFmt w:val="bullet"/>
      <w:lvlText w:val="•"/>
      <w:lvlJc w:val="left"/>
      <w:pPr>
        <w:ind w:left="963" w:hanging="819"/>
      </w:pPr>
      <w:rPr>
        <w:rFonts w:hint="default"/>
        <w:lang w:val="zh-CN" w:eastAsia="zh-CN" w:bidi="zh-CN"/>
      </w:rPr>
    </w:lvl>
    <w:lvl w:ilvl="2" w:tentative="0">
      <w:start w:val="0"/>
      <w:numFmt w:val="bullet"/>
      <w:lvlText w:val="•"/>
      <w:lvlJc w:val="left"/>
      <w:pPr>
        <w:ind w:left="1807" w:hanging="819"/>
      </w:pPr>
      <w:rPr>
        <w:rFonts w:hint="default"/>
        <w:lang w:val="zh-CN" w:eastAsia="zh-CN" w:bidi="zh-CN"/>
      </w:rPr>
    </w:lvl>
    <w:lvl w:ilvl="3" w:tentative="0">
      <w:start w:val="0"/>
      <w:numFmt w:val="bullet"/>
      <w:lvlText w:val="•"/>
      <w:lvlJc w:val="left"/>
      <w:pPr>
        <w:ind w:left="2650" w:hanging="819"/>
      </w:pPr>
      <w:rPr>
        <w:rFonts w:hint="default"/>
        <w:lang w:val="zh-CN" w:eastAsia="zh-CN" w:bidi="zh-CN"/>
      </w:rPr>
    </w:lvl>
    <w:lvl w:ilvl="4" w:tentative="0">
      <w:start w:val="0"/>
      <w:numFmt w:val="bullet"/>
      <w:lvlText w:val="•"/>
      <w:lvlJc w:val="left"/>
      <w:pPr>
        <w:ind w:left="3494" w:hanging="819"/>
      </w:pPr>
      <w:rPr>
        <w:rFonts w:hint="default"/>
        <w:lang w:val="zh-CN" w:eastAsia="zh-CN" w:bidi="zh-CN"/>
      </w:rPr>
    </w:lvl>
    <w:lvl w:ilvl="5" w:tentative="0">
      <w:start w:val="0"/>
      <w:numFmt w:val="bullet"/>
      <w:lvlText w:val="•"/>
      <w:lvlJc w:val="left"/>
      <w:pPr>
        <w:ind w:left="4337" w:hanging="819"/>
      </w:pPr>
      <w:rPr>
        <w:rFonts w:hint="default"/>
        <w:lang w:val="zh-CN" w:eastAsia="zh-CN" w:bidi="zh-CN"/>
      </w:rPr>
    </w:lvl>
    <w:lvl w:ilvl="6" w:tentative="0">
      <w:start w:val="0"/>
      <w:numFmt w:val="bullet"/>
      <w:lvlText w:val="•"/>
      <w:lvlJc w:val="left"/>
      <w:pPr>
        <w:ind w:left="5181" w:hanging="819"/>
      </w:pPr>
      <w:rPr>
        <w:rFonts w:hint="default"/>
        <w:lang w:val="zh-CN" w:eastAsia="zh-CN" w:bidi="zh-CN"/>
      </w:rPr>
    </w:lvl>
    <w:lvl w:ilvl="7" w:tentative="0">
      <w:start w:val="0"/>
      <w:numFmt w:val="bullet"/>
      <w:lvlText w:val="•"/>
      <w:lvlJc w:val="left"/>
      <w:pPr>
        <w:ind w:left="6024" w:hanging="819"/>
      </w:pPr>
      <w:rPr>
        <w:rFonts w:hint="default"/>
        <w:lang w:val="zh-CN" w:eastAsia="zh-CN" w:bidi="zh-CN"/>
      </w:rPr>
    </w:lvl>
    <w:lvl w:ilvl="8" w:tentative="0">
      <w:start w:val="0"/>
      <w:numFmt w:val="bullet"/>
      <w:lvlText w:val="•"/>
      <w:lvlJc w:val="left"/>
      <w:pPr>
        <w:ind w:left="6868" w:hanging="819"/>
      </w:pPr>
      <w:rPr>
        <w:rFonts w:hint="default"/>
        <w:lang w:val="zh-CN" w:eastAsia="zh-CN" w:bidi="zh-CN"/>
      </w:rPr>
    </w:lvl>
  </w:abstractNum>
  <w:abstractNum w:abstractNumId="3">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E0F23F2"/>
    <w:multiLevelType w:val="multilevel"/>
    <w:tmpl w:val="2E0F23F2"/>
    <w:lvl w:ilvl="0" w:tentative="0">
      <w:start w:val="1"/>
      <w:numFmt w:val="decimal"/>
      <w:lvlText w:val="%1."/>
      <w:lvlJc w:val="left"/>
      <w:pPr>
        <w:ind w:left="1160" w:hanging="360"/>
      </w:pPr>
      <w:rPr>
        <w:rFonts w:hint="default"/>
      </w:rPr>
    </w:lvl>
    <w:lvl w:ilvl="1" w:tentative="0">
      <w:start w:val="1"/>
      <w:numFmt w:val="lowerLetter"/>
      <w:lvlText w:val="%2)"/>
      <w:lvlJc w:val="left"/>
      <w:pPr>
        <w:ind w:left="1640" w:hanging="420"/>
      </w:pPr>
    </w:lvl>
    <w:lvl w:ilvl="2" w:tentative="0">
      <w:start w:val="1"/>
      <w:numFmt w:val="lowerRoman"/>
      <w:lvlText w:val="%3."/>
      <w:lvlJc w:val="right"/>
      <w:pPr>
        <w:ind w:left="2060" w:hanging="420"/>
      </w:pPr>
    </w:lvl>
    <w:lvl w:ilvl="3" w:tentative="0">
      <w:start w:val="1"/>
      <w:numFmt w:val="decimal"/>
      <w:lvlText w:val="%4."/>
      <w:lvlJc w:val="left"/>
      <w:pPr>
        <w:ind w:left="2480" w:hanging="420"/>
      </w:pPr>
    </w:lvl>
    <w:lvl w:ilvl="4" w:tentative="0">
      <w:start w:val="1"/>
      <w:numFmt w:val="lowerLetter"/>
      <w:lvlText w:val="%5)"/>
      <w:lvlJc w:val="left"/>
      <w:pPr>
        <w:ind w:left="2900" w:hanging="420"/>
      </w:pPr>
    </w:lvl>
    <w:lvl w:ilvl="5" w:tentative="0">
      <w:start w:val="1"/>
      <w:numFmt w:val="lowerRoman"/>
      <w:lvlText w:val="%6."/>
      <w:lvlJc w:val="right"/>
      <w:pPr>
        <w:ind w:left="3320" w:hanging="420"/>
      </w:pPr>
    </w:lvl>
    <w:lvl w:ilvl="6" w:tentative="0">
      <w:start w:val="1"/>
      <w:numFmt w:val="decimal"/>
      <w:lvlText w:val="%7."/>
      <w:lvlJc w:val="left"/>
      <w:pPr>
        <w:ind w:left="3740" w:hanging="420"/>
      </w:pPr>
    </w:lvl>
    <w:lvl w:ilvl="7" w:tentative="0">
      <w:start w:val="1"/>
      <w:numFmt w:val="lowerLetter"/>
      <w:lvlText w:val="%8)"/>
      <w:lvlJc w:val="left"/>
      <w:pPr>
        <w:ind w:left="4160" w:hanging="420"/>
      </w:pPr>
    </w:lvl>
    <w:lvl w:ilvl="8" w:tentative="0">
      <w:start w:val="1"/>
      <w:numFmt w:val="lowerRoman"/>
      <w:lvlText w:val="%9."/>
      <w:lvlJc w:val="right"/>
      <w:pPr>
        <w:ind w:left="4580" w:hanging="420"/>
      </w:pPr>
    </w:lvl>
  </w:abstractNum>
  <w:abstractNum w:abstractNumId="5">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6"/>
  </w:num>
  <w:num w:numId="4">
    <w:abstractNumId w:val="7"/>
  </w:num>
  <w:num w:numId="5">
    <w:abstractNumId w:val="2"/>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0"/>
  <w:drawingGridVerticalSpacing w:val="159"/>
  <w:displayVerticalDrawingGridEvery w:val="2"/>
  <w:noPunctuationKerning w:val="1"/>
  <w:characterSpacingControl w:val="compressPunctuation"/>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41A"/>
    <w:rsid w:val="000A40BA"/>
    <w:rsid w:val="0015398D"/>
    <w:rsid w:val="001757ED"/>
    <w:rsid w:val="00182E74"/>
    <w:rsid w:val="001E37DF"/>
    <w:rsid w:val="00250AF8"/>
    <w:rsid w:val="0027041A"/>
    <w:rsid w:val="00282C69"/>
    <w:rsid w:val="002F6C86"/>
    <w:rsid w:val="003C03BE"/>
    <w:rsid w:val="003C7EC9"/>
    <w:rsid w:val="004572CF"/>
    <w:rsid w:val="00473B4F"/>
    <w:rsid w:val="00495E50"/>
    <w:rsid w:val="005D4CFE"/>
    <w:rsid w:val="006815E1"/>
    <w:rsid w:val="006B5528"/>
    <w:rsid w:val="008856C2"/>
    <w:rsid w:val="008E29B2"/>
    <w:rsid w:val="00913B80"/>
    <w:rsid w:val="009550E1"/>
    <w:rsid w:val="00985FA2"/>
    <w:rsid w:val="009F7F82"/>
    <w:rsid w:val="00AF00E6"/>
    <w:rsid w:val="00AF5892"/>
    <w:rsid w:val="00B07108"/>
    <w:rsid w:val="00B31F72"/>
    <w:rsid w:val="00BE1654"/>
    <w:rsid w:val="00C83075"/>
    <w:rsid w:val="00CB2C09"/>
    <w:rsid w:val="00D041DD"/>
    <w:rsid w:val="00D76EF8"/>
    <w:rsid w:val="00D87D54"/>
    <w:rsid w:val="00E05F6B"/>
    <w:rsid w:val="00E418DF"/>
    <w:rsid w:val="00E86584"/>
    <w:rsid w:val="00F04E7D"/>
    <w:rsid w:val="00F11644"/>
    <w:rsid w:val="00F50907"/>
    <w:rsid w:val="00FC1E40"/>
    <w:rsid w:val="070F6488"/>
    <w:rsid w:val="219D7AD1"/>
    <w:rsid w:val="22167F23"/>
    <w:rsid w:val="23FC1969"/>
    <w:rsid w:val="24AD0CCB"/>
    <w:rsid w:val="259D531E"/>
    <w:rsid w:val="347E1038"/>
    <w:rsid w:val="35374E47"/>
    <w:rsid w:val="3B726FC4"/>
    <w:rsid w:val="480B7128"/>
    <w:rsid w:val="524B6051"/>
    <w:rsid w:val="54AA6632"/>
    <w:rsid w:val="54D5109C"/>
    <w:rsid w:val="614219BF"/>
    <w:rsid w:val="66BB6DD6"/>
    <w:rsid w:val="69D32689"/>
    <w:rsid w:val="69F83002"/>
    <w:rsid w:val="6C3C4515"/>
    <w:rsid w:val="6FA17249"/>
    <w:rsid w:val="73D65C55"/>
    <w:rsid w:val="7EA85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黑体"/>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rFonts w:ascii="仿宋" w:hAnsi="仿宋" w:eastAsia="仿宋" w:cs="仿宋"/>
      <w:b/>
      <w:bCs/>
      <w:kern w:val="44"/>
      <w:sz w:val="32"/>
      <w:szCs w:val="44"/>
    </w:rPr>
  </w:style>
  <w:style w:type="paragraph" w:styleId="4">
    <w:name w:val="heading 2"/>
    <w:basedOn w:val="1"/>
    <w:next w:val="1"/>
    <w:semiHidden/>
    <w:unhideWhenUsed/>
    <w:qFormat/>
    <w:uiPriority w:val="9"/>
    <w:pPr>
      <w:keepNext/>
      <w:keepLines/>
      <w:spacing w:before="260" w:after="260" w:line="416" w:lineRule="auto"/>
      <w:outlineLvl w:val="1"/>
    </w:pPr>
    <w:rPr>
      <w:rFonts w:ascii="Cambria" w:hAnsi="Cambria" w:eastAsia="仿宋" w:cs="Times New Roman (标题 CS)"/>
      <w:b/>
      <w:bCs/>
      <w:sz w:val="32"/>
      <w:szCs w:val="32"/>
    </w:rPr>
  </w:style>
  <w:style w:type="paragraph" w:styleId="5">
    <w:name w:val="heading 3"/>
    <w:basedOn w:val="1"/>
    <w:next w:val="1"/>
    <w:semiHidden/>
    <w:unhideWhenUsed/>
    <w:qFormat/>
    <w:uiPriority w:val="9"/>
    <w:pPr>
      <w:keepNext/>
      <w:keepLines/>
      <w:spacing w:before="260" w:after="260" w:line="416" w:lineRule="auto"/>
      <w:outlineLvl w:val="2"/>
    </w:pPr>
    <w:rPr>
      <w:rFonts w:eastAsia="宋体" w:cs="Times New Roman (正文 CS 字体)"/>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6">
    <w:name w:val="toc 3"/>
    <w:basedOn w:val="1"/>
    <w:next w:val="1"/>
    <w:semiHidden/>
    <w:unhideWhenUsed/>
    <w:qFormat/>
    <w:uiPriority w:val="39"/>
    <w:pPr>
      <w:ind w:left="420"/>
      <w:jc w:val="left"/>
    </w:pPr>
    <w:rPr>
      <w:i/>
      <w:iCs/>
      <w:sz w:val="20"/>
      <w:szCs w:val="20"/>
    </w:rPr>
  </w:style>
  <w:style w:type="paragraph" w:styleId="7">
    <w:name w:val="Date"/>
    <w:basedOn w:val="1"/>
    <w:next w:val="1"/>
    <w:link w:val="23"/>
    <w:semiHidden/>
    <w:unhideWhenUsed/>
    <w:uiPriority w:val="99"/>
    <w:pPr>
      <w:ind w:left="100" w:leftChars="2500"/>
    </w:pPr>
  </w:style>
  <w:style w:type="paragraph" w:styleId="8">
    <w:name w:val="footer"/>
    <w:basedOn w:val="1"/>
    <w:link w:val="21"/>
    <w:semiHidden/>
    <w:unhideWhenUsed/>
    <w:qFormat/>
    <w:uiPriority w:val="99"/>
    <w:pPr>
      <w:tabs>
        <w:tab w:val="center" w:pos="4153"/>
        <w:tab w:val="right" w:pos="8306"/>
      </w:tabs>
      <w:snapToGrid w:val="0"/>
      <w:jc w:val="left"/>
    </w:pPr>
    <w:rPr>
      <w:sz w:val="18"/>
      <w:szCs w:val="18"/>
    </w:rPr>
  </w:style>
  <w:style w:type="paragraph" w:styleId="9">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pPr>
      <w:spacing w:before="120" w:after="120"/>
      <w:jc w:val="left"/>
    </w:pPr>
    <w:rPr>
      <w:b/>
      <w:bCs/>
      <w:caps/>
      <w:sz w:val="20"/>
      <w:szCs w:val="20"/>
    </w:rPr>
  </w:style>
  <w:style w:type="paragraph" w:styleId="11">
    <w:name w:val="toc 2"/>
    <w:basedOn w:val="1"/>
    <w:next w:val="1"/>
    <w:semiHidden/>
    <w:unhideWhenUsed/>
    <w:qFormat/>
    <w:uiPriority w:val="39"/>
    <w:pPr>
      <w:ind w:left="210"/>
      <w:jc w:val="left"/>
    </w:pPr>
    <w:rPr>
      <w:smallCaps/>
      <w:sz w:val="20"/>
      <w:szCs w:val="20"/>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page number"/>
    <w:basedOn w:val="14"/>
    <w:semiHidden/>
    <w:unhideWhenUsed/>
    <w:uiPriority w:val="99"/>
  </w:style>
  <w:style w:type="character" w:styleId="16">
    <w:name w:val="Hyperlink"/>
    <w:basedOn w:val="14"/>
    <w:semiHidden/>
    <w:unhideWhenUsed/>
    <w:qFormat/>
    <w:uiPriority w:val="99"/>
    <w:rPr>
      <w:color w:val="0563C1"/>
      <w:u w:val="single"/>
    </w:rPr>
  </w:style>
  <w:style w:type="paragraph" w:customStyle="1" w:styleId="17">
    <w:name w:val="列出段落1"/>
    <w:basedOn w:val="1"/>
    <w:qFormat/>
    <w:uiPriority w:val="34"/>
    <w:pPr>
      <w:ind w:firstLine="420" w:firstLineChars="200"/>
    </w:pPr>
  </w:style>
  <w:style w:type="paragraph" w:customStyle="1" w:styleId="18">
    <w:name w:val="_Style 5"/>
    <w:basedOn w:val="1"/>
    <w:next w:val="17"/>
    <w:qFormat/>
    <w:uiPriority w:val="34"/>
    <w:pPr>
      <w:ind w:firstLine="420" w:firstLineChars="200"/>
    </w:pPr>
    <w:rPr>
      <w:rFonts w:ascii="Calibri" w:hAnsi="Calibri" w:eastAsia="宋体" w:cs="Times New Roman"/>
    </w:rPr>
  </w:style>
  <w:style w:type="paragraph" w:customStyle="1" w:styleId="19">
    <w:name w:val="p2"/>
    <w:basedOn w:val="1"/>
    <w:qFormat/>
    <w:uiPriority w:val="0"/>
    <w:pPr>
      <w:widowControl/>
      <w:jc w:val="left"/>
    </w:pPr>
    <w:rPr>
      <w:rFonts w:ascii="华文仿宋" w:hAnsi="华文仿宋" w:eastAsia="华文仿宋"/>
      <w:kern w:val="0"/>
      <w:sz w:val="27"/>
      <w:szCs w:val="27"/>
    </w:rPr>
  </w:style>
  <w:style w:type="character" w:customStyle="1" w:styleId="20">
    <w:name w:val="页眉 Char"/>
    <w:basedOn w:val="14"/>
    <w:link w:val="9"/>
    <w:semiHidden/>
    <w:qFormat/>
    <w:uiPriority w:val="99"/>
    <w:rPr>
      <w:sz w:val="18"/>
      <w:szCs w:val="18"/>
    </w:rPr>
  </w:style>
  <w:style w:type="character" w:customStyle="1" w:styleId="21">
    <w:name w:val="页脚 Char"/>
    <w:basedOn w:val="14"/>
    <w:link w:val="8"/>
    <w:semiHidden/>
    <w:qFormat/>
    <w:uiPriority w:val="99"/>
    <w:rPr>
      <w:sz w:val="18"/>
      <w:szCs w:val="18"/>
    </w:rPr>
  </w:style>
  <w:style w:type="character" w:customStyle="1" w:styleId="22">
    <w:name w:val="15"/>
    <w:basedOn w:val="14"/>
    <w:qFormat/>
    <w:uiPriority w:val="0"/>
    <w:rPr>
      <w:rFonts w:hint="default" w:ascii="Times New Roman" w:hAnsi="Times New Roman" w:cs="Times New Roman"/>
    </w:rPr>
  </w:style>
  <w:style w:type="character" w:customStyle="1" w:styleId="23">
    <w:name w:val="日期 Char"/>
    <w:basedOn w:val="14"/>
    <w:link w:val="7"/>
    <w:semiHidden/>
    <w:uiPriority w:val="99"/>
    <w:rPr>
      <w:rFonts w:ascii="等线" w:hAnsi="等线" w:eastAsia="等线" w:cs="黑体"/>
      <w:kern w:val="2"/>
      <w:sz w:val="21"/>
      <w:szCs w:val="22"/>
    </w:rPr>
  </w:style>
  <w:style w:type="character" w:customStyle="1" w:styleId="24">
    <w:name w:val="NormalCharacter"/>
    <w:qFormat/>
    <w:uiPriority w:val="0"/>
  </w:style>
  <w:style w:type="paragraph" w:customStyle="1" w:styleId="2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4924</Words>
  <Characters>5421</Characters>
  <Lines>5</Lines>
  <Paragraphs>1</Paragraphs>
  <TotalTime>4</TotalTime>
  <ScaleCrop>false</ScaleCrop>
  <LinksUpToDate>false</LinksUpToDate>
  <CharactersWithSpaces>5483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2021-11-26T06:02:00Z</dcterms:created>
  <dc:creator>zhang caiman</dc:creator>
  <cp:lastModifiedBy>么么君</cp:lastModifiedBy>
  <cp:lastPrinted>2023-02-03T02:09:00Z</cp:lastPrinted>
  <dcterms:modified xsi:type="dcterms:W3CDTF">2023-02-07T08:30:06Z</dcterms:modified>
  <dc:title>附件2</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FD4CA744BC5F4D94AE307AB7D2FE18FD</vt:lpwstr>
  </property>
</Properties>
</file>