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100" w:beforeAutospacing="1" w:after="100" w:afterAutospacing="1"/>
        <w:rPr>
          <w:rFonts w:ascii="黑体" w:eastAsia="黑体"/>
          <w:sz w:val="32"/>
          <w:szCs w:val="32"/>
        </w:rPr>
      </w:pPr>
      <w:r>
        <w:rPr>
          <w:rFonts w:hint="eastAsia" w:ascii="黑体" w:eastAsia="黑体"/>
          <w:sz w:val="32"/>
          <w:szCs w:val="32"/>
        </w:rPr>
        <w:t>附件1</w:t>
      </w:r>
    </w:p>
    <w:p>
      <w:pPr>
        <w:shd w:val="clear" w:color="auto" w:fill="FFFFFF"/>
        <w:spacing w:before="100" w:beforeAutospacing="1" w:after="100" w:afterAutospacing="1"/>
        <w:rPr>
          <w:sz w:val="30"/>
          <w:szCs w:val="30"/>
        </w:rPr>
      </w:pPr>
    </w:p>
    <w:p>
      <w:pPr>
        <w:jc w:val="center"/>
        <w:rPr>
          <w:rFonts w:hint="eastAsia" w:ascii="黑体" w:hAnsi="ˎ̥" w:eastAsia="黑体"/>
          <w:sz w:val="44"/>
          <w:szCs w:val="44"/>
        </w:rPr>
      </w:pPr>
      <w:r>
        <w:rPr>
          <w:rFonts w:hint="eastAsia" w:ascii="黑体" w:hAnsi="ˎ̥" w:eastAsia="黑体"/>
          <w:sz w:val="44"/>
          <w:szCs w:val="44"/>
        </w:rPr>
        <w:t>海南省动物疫病预防控制中心2021年度部门决算公开文字说明</w:t>
      </w:r>
    </w:p>
    <w:p>
      <w:pPr>
        <w:shd w:val="clear" w:color="auto" w:fill="FFFFFF"/>
        <w:spacing w:before="100" w:beforeAutospacing="1" w:after="100" w:afterAutospacing="1"/>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4"/>
        <w:shd w:val="clear" w:color="auto" w:fill="FFFFFF"/>
        <w:tabs>
          <w:tab w:val="right" w:leader="dot" w:pos="8306"/>
        </w:tabs>
        <w:rPr>
          <w:sz w:val="32"/>
          <w:szCs w:val="32"/>
        </w:rPr>
      </w:pPr>
      <w:r>
        <w:rPr>
          <w:rFonts w:hint="eastAsia" w:ascii="黑体" w:hAnsi="ˎ̥" w:eastAsia="黑体"/>
          <w:sz w:val="32"/>
          <w:szCs w:val="32"/>
        </w:rPr>
        <w:t>第一部分  海南省动物疫病预防控制中心概况</w:t>
      </w:r>
      <w:r>
        <w:rPr>
          <w:sz w:val="32"/>
          <w:szCs w:val="32"/>
        </w:rPr>
        <w:tab/>
      </w:r>
      <w:r>
        <w:rPr>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p>
    <w:p>
      <w:pPr>
        <w:pStyle w:val="4"/>
        <w:shd w:val="clear" w:color="auto" w:fill="FFFFFF"/>
        <w:tabs>
          <w:tab w:val="right" w:leader="dot" w:pos="8306"/>
        </w:tabs>
        <w:rPr>
          <w:sz w:val="32"/>
          <w:szCs w:val="32"/>
        </w:rPr>
      </w:pPr>
      <w:r>
        <w:rPr>
          <w:rFonts w:hint="eastAsia" w:ascii="黑体" w:hAnsi="ˎ̥" w:eastAsia="黑体"/>
          <w:sz w:val="32"/>
          <w:szCs w:val="32"/>
        </w:rPr>
        <w:t>第二部分  海南省动物疫病预防控制中心2021年度部门决算公开表</w:t>
      </w:r>
      <w:r>
        <w:rPr>
          <w:sz w:val="32"/>
          <w:szCs w:val="32"/>
        </w:rPr>
        <w:tab/>
      </w:r>
      <w:r>
        <w:rPr>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4"/>
        <w:shd w:val="clear" w:color="auto" w:fill="FFFFFF"/>
        <w:tabs>
          <w:tab w:val="right" w:leader="dot" w:pos="8306"/>
        </w:tabs>
        <w:rPr>
          <w:sz w:val="32"/>
          <w:szCs w:val="32"/>
        </w:rPr>
      </w:pPr>
      <w:r>
        <w:rPr>
          <w:rFonts w:hint="eastAsia" w:ascii="黑体" w:hAnsi="黑体" w:eastAsia="黑体" w:cs="黑体"/>
          <w:sz w:val="32"/>
          <w:szCs w:val="32"/>
        </w:rPr>
        <w:t>第三部分</w:t>
      </w:r>
      <w:r>
        <w:rPr>
          <w:sz w:val="32"/>
          <w:szCs w:val="32"/>
        </w:rPr>
        <w:t xml:space="preserve">  </w:t>
      </w:r>
      <w:r>
        <w:rPr>
          <w:rFonts w:hint="eastAsia" w:ascii="黑体" w:hAnsi="ˎ̥" w:eastAsia="黑体"/>
          <w:sz w:val="32"/>
          <w:szCs w:val="32"/>
        </w:rPr>
        <w:t>海南省动物疫病预防控制中心2021年度部门决算情况说明</w:t>
      </w:r>
      <w:r>
        <w:rPr>
          <w:sz w:val="32"/>
          <w:szCs w:val="32"/>
        </w:rPr>
        <w:tab/>
      </w:r>
      <w:r>
        <w:rPr>
          <w:sz w:val="32"/>
          <w:szCs w:val="32"/>
        </w:rPr>
        <w:t>4</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t>7</w:t>
      </w:r>
    </w:p>
    <w:p>
      <w:pPr>
        <w:pStyle w:val="5"/>
        <w:numPr>
          <w:ilvl w:val="0"/>
          <w:numId w:val="1"/>
        </w:numPr>
        <w:shd w:val="clear" w:color="auto" w:fill="FFFFFF"/>
        <w:tabs>
          <w:tab w:val="left" w:pos="8115"/>
          <w:tab w:val="right" w:leader="dot" w:pos="8306"/>
          <w:tab w:val="clear" w:pos="720"/>
        </w:tabs>
        <w:ind w:left="0" w:firstLine="0"/>
        <w:rPr>
          <w:rFonts w:ascii="仿宋" w:hAnsi="仿宋" w:eastAsia="仿宋" w:cs="仿宋"/>
          <w:sz w:val="32"/>
          <w:szCs w:val="32"/>
        </w:rPr>
      </w:pP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8</w:t>
      </w:r>
    </w:p>
    <w:p>
      <w:pPr>
        <w:pStyle w:val="5"/>
        <w:numPr>
          <w:ilvl w:val="0"/>
          <w:numId w:val="1"/>
        </w:numPr>
        <w:shd w:val="clear" w:color="auto" w:fill="FFFFFF"/>
        <w:tabs>
          <w:tab w:val="right" w:leader="dot" w:pos="8306"/>
          <w:tab w:val="clear" w:pos="720"/>
        </w:tabs>
        <w:ind w:left="0" w:firstLine="0"/>
        <w:rPr>
          <w:rFonts w:ascii="仿宋" w:hAnsi="仿宋" w:eastAsia="仿宋" w:cs="仿宋"/>
          <w:sz w:val="32"/>
          <w:szCs w:val="32"/>
        </w:rPr>
      </w:pP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七、</w:t>
      </w: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八、</w:t>
      </w: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shd w:val="clear" w:color="auto" w:fill="FFFFFF"/>
        <w:spacing w:before="100" w:beforeAutospacing="1" w:after="100" w:afterAutospacing="1"/>
        <w:rPr>
          <w:rFonts w:ascii="仿宋" w:hAnsi="仿宋" w:eastAsia="仿宋" w:cs="仿宋"/>
          <w:sz w:val="32"/>
          <w:szCs w:val="32"/>
        </w:rPr>
      </w:pPr>
      <w:r>
        <w:rPr>
          <w:rFonts w:hint="eastAsia" w:ascii="仿宋" w:hAnsi="仿宋" w:eastAsia="仿宋" w:cs="仿宋"/>
          <w:bCs/>
          <w:sz w:val="32"/>
          <w:szCs w:val="32"/>
        </w:rPr>
        <w:t>九、一般公共预算财政拨款“三公”经费支出决算情况说明</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8</w:t>
      </w:r>
    </w:p>
    <w:p>
      <w:pPr>
        <w:shd w:val="clear" w:color="auto" w:fill="FFFFFF"/>
        <w:spacing w:before="100" w:beforeAutospacing="1" w:after="100" w:afterAutospacing="1"/>
        <w:rPr>
          <w:rFonts w:ascii="仿宋" w:hAnsi="仿宋" w:eastAsia="仿宋" w:cs="仿宋"/>
          <w:sz w:val="32"/>
          <w:szCs w:val="32"/>
        </w:rPr>
      </w:pPr>
      <w:r>
        <w:rPr>
          <w:rFonts w:hint="eastAsia" w:ascii="仿宋" w:hAnsi="仿宋" w:eastAsia="仿宋" w:cs="仿宋"/>
          <w:bCs/>
          <w:sz w:val="32"/>
          <w:szCs w:val="32"/>
        </w:rPr>
        <w:t>十、政府性基金预算财政拨款“三公”经费支出决算情况说明</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10</w:t>
      </w:r>
    </w:p>
    <w:p>
      <w:pPr>
        <w:shd w:val="clear" w:color="auto" w:fill="FFFFFF"/>
        <w:spacing w:before="100" w:beforeAutospacing="1" w:after="100" w:afterAutospacing="1"/>
        <w:rPr>
          <w:rFonts w:ascii="仿宋" w:hAnsi="仿宋" w:eastAsia="仿宋" w:cs="仿宋"/>
          <w:sz w:val="32"/>
          <w:szCs w:val="32"/>
        </w:rPr>
      </w:pPr>
      <w:r>
        <w:rPr>
          <w:rFonts w:hint="eastAsia" w:ascii="仿宋" w:hAnsi="仿宋" w:eastAsia="仿宋" w:cs="仿宋"/>
          <w:bCs/>
          <w:sz w:val="32"/>
          <w:szCs w:val="32"/>
        </w:rPr>
        <w:t>十一、国有资本经营预算财政拨款“三公”经费支出决算情况说明</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10</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t>11</w:t>
      </w:r>
    </w:p>
    <w:p>
      <w:pPr>
        <w:pStyle w:val="5"/>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十三、其他重要事项情况说明</w:t>
      </w:r>
      <w:r>
        <w:rPr>
          <w:rFonts w:hint="eastAsia" w:ascii="仿宋" w:hAnsi="仿宋" w:eastAsia="仿宋" w:cs="仿宋"/>
          <w:sz w:val="32"/>
          <w:szCs w:val="32"/>
        </w:rPr>
        <w:tab/>
      </w:r>
      <w:r>
        <w:rPr>
          <w:rFonts w:hint="eastAsia" w:ascii="仿宋" w:hAnsi="仿宋" w:eastAsia="仿宋" w:cs="仿宋"/>
          <w:sz w:val="32"/>
          <w:szCs w:val="32"/>
        </w:rPr>
        <w:t>11</w:t>
      </w:r>
    </w:p>
    <w:p>
      <w:pPr>
        <w:pStyle w:val="4"/>
        <w:shd w:val="clear" w:color="auto" w:fill="FFFFFF"/>
        <w:tabs>
          <w:tab w:val="right" w:leader="dot" w:pos="8306"/>
        </w:tabs>
        <w:rPr>
          <w:sz w:val="32"/>
          <w:szCs w:val="32"/>
        </w:rPr>
      </w:pP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0"/>
      <w:bookmarkEnd w:id="1"/>
      <w:r>
        <w:rPr>
          <w:sz w:val="32"/>
          <w:szCs w:val="32"/>
        </w:rPr>
        <w:t>3</w:t>
      </w:r>
    </w:p>
    <w:p>
      <w:pPr>
        <w:shd w:val="clear" w:color="auto" w:fill="FFFFFF"/>
        <w:spacing w:before="100" w:beforeAutospacing="1" w:after="100" w:afterAutospacing="1"/>
        <w:rPr>
          <w:rFonts w:ascii="黑体" w:hAnsi="黑体" w:eastAsia="黑体" w:cs="黑体"/>
          <w:sz w:val="32"/>
          <w:szCs w:val="32"/>
        </w:rPr>
      </w:pPr>
    </w:p>
    <w:p>
      <w:pPr>
        <w:shd w:val="clear" w:color="auto" w:fill="FFFFFF"/>
        <w:spacing w:before="100" w:beforeAutospacing="1" w:after="100" w:afterAutospacing="1"/>
        <w:jc w:val="center"/>
        <w:rPr>
          <w:rFonts w:hint="eastAsia" w:ascii="黑体" w:hAnsi="ˎ̥" w:eastAsia="黑体"/>
          <w:b/>
          <w:sz w:val="32"/>
          <w:szCs w:val="32"/>
        </w:rPr>
      </w:pPr>
    </w:p>
    <w:p>
      <w:pPr>
        <w:shd w:val="clear" w:color="auto" w:fill="FFFFFF"/>
        <w:spacing w:before="100" w:beforeAutospacing="1" w:after="100" w:afterAutospacing="1"/>
        <w:jc w:val="center"/>
        <w:rPr>
          <w:rFonts w:hint="eastAsia" w:ascii="黑体" w:hAnsi="ˎ̥" w:eastAsia="黑体"/>
          <w:b/>
          <w:sz w:val="32"/>
          <w:szCs w:val="32"/>
        </w:rPr>
      </w:pPr>
    </w:p>
    <w:p>
      <w:pPr>
        <w:shd w:val="clear" w:color="auto" w:fill="FFFFFF"/>
        <w:spacing w:before="100" w:beforeAutospacing="1" w:after="100" w:afterAutospacing="1"/>
        <w:jc w:val="center"/>
        <w:rPr>
          <w:rFonts w:hint="eastAsia" w:ascii="黑体" w:hAnsi="ˎ̥" w:eastAsia="黑体"/>
          <w:sz w:val="32"/>
          <w:szCs w:val="32"/>
        </w:rPr>
      </w:pPr>
      <w:bookmarkStart w:id="2" w:name="_Toc10720_WPSOffice_Level1"/>
      <w:bookmarkStart w:id="3" w:name="_Toc22941_WPSOffice_Level1"/>
      <w:bookmarkStart w:id="4" w:name="_Toc10049_WPSOffice_Level1"/>
      <w:bookmarkStart w:id="5" w:name="_Toc23465_WPSOffice_Level1"/>
      <w:bookmarkStart w:id="6" w:name="_Toc32433_WPSOffice_Level1"/>
      <w:bookmarkStart w:id="7" w:name="_Toc1704_WPSOffice_Level1"/>
      <w:bookmarkStart w:id="8" w:name="_Toc24238_WPSOffice_Level2"/>
      <w:bookmarkStart w:id="9" w:name="_Toc20274_WPSOffice_Level2"/>
      <w:bookmarkStart w:id="10" w:name="_Toc26580_WPSOffice_Level2"/>
      <w:bookmarkStart w:id="11" w:name="_Toc20205_WPSOffice_Level2"/>
      <w:bookmarkStart w:id="12" w:name="_Toc14159_WPSOffice_Level2"/>
      <w:bookmarkStart w:id="13" w:name="_Toc32622_WPSOffice_Level2"/>
      <w:r>
        <w:rPr>
          <w:rFonts w:hint="eastAsia" w:ascii="黑体" w:hAnsi="ˎ̥" w:eastAsia="黑体"/>
          <w:sz w:val="32"/>
          <w:szCs w:val="32"/>
        </w:rPr>
        <w:t>第一部分  海南省动物疫病预防控制中心部门概况</w:t>
      </w:r>
      <w:bookmarkEnd w:id="2"/>
      <w:bookmarkEnd w:id="3"/>
      <w:bookmarkEnd w:id="4"/>
      <w:bookmarkEnd w:id="5"/>
      <w:bookmarkEnd w:id="6"/>
      <w:bookmarkEnd w:id="7"/>
    </w:p>
    <w:p>
      <w:pPr>
        <w:shd w:val="clear" w:color="auto" w:fill="FFFFFF"/>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一、部门</w:t>
      </w:r>
      <w:bookmarkEnd w:id="8"/>
      <w:r>
        <w:rPr>
          <w:rFonts w:hint="eastAsia" w:ascii="黑体" w:hAnsi="黑体" w:eastAsia="黑体" w:cs="黑体"/>
          <w:sz w:val="32"/>
          <w:szCs w:val="32"/>
        </w:rPr>
        <w:t>（单位）职责</w:t>
      </w:r>
      <w:bookmarkEnd w:id="9"/>
      <w:bookmarkEnd w:id="10"/>
      <w:bookmarkEnd w:id="11"/>
      <w:bookmarkEnd w:id="12"/>
      <w:bookmarkEnd w:id="13"/>
    </w:p>
    <w:p>
      <w:pPr>
        <w:spacing w:line="560" w:lineRule="exact"/>
        <w:ind w:left="480" w:leftChars="200" w:firstLine="640" w:firstLineChars="200"/>
        <w:rPr>
          <w:rFonts w:hint="eastAsia" w:ascii="仿宋_GB2312" w:hAnsi="ˎ̥" w:eastAsia="仿宋_GB2312"/>
          <w:sz w:val="32"/>
          <w:szCs w:val="32"/>
        </w:rPr>
      </w:pPr>
      <w:r>
        <w:rPr>
          <w:rFonts w:hint="eastAsia" w:ascii="仿宋_GB2312" w:hAnsi="ˎ̥" w:eastAsia="仿宋_GB2312"/>
          <w:sz w:val="32"/>
          <w:szCs w:val="32"/>
        </w:rPr>
        <w:t>海南省动物疫病预防控制中心是隶属海南省农业农村厅管理的正处级全额拨款公益一类事业单位。主要职责是：承担全省动物疫病预防预警、监测，重大动物疫病诊断、处理，人畜共患病防控和维护公共卫生安全，重大动物疫病疫苗等防疫物资储备和供应，兽药、饲料、饲料添加剂、畜产品安全、兽医药械质量检验检测及新兽医技术推广等公益性、基础性职能工作</w:t>
      </w:r>
    </w:p>
    <w:p>
      <w:pPr>
        <w:shd w:val="clear" w:color="auto" w:fill="FFFFFF"/>
        <w:spacing w:before="100" w:beforeAutospacing="1" w:after="100" w:afterAutospacing="1"/>
        <w:ind w:firstLine="640" w:firstLineChars="200"/>
        <w:rPr>
          <w:rFonts w:ascii="黑体" w:hAnsi="黑体" w:eastAsia="黑体" w:cs="黑体"/>
          <w:sz w:val="32"/>
          <w:szCs w:val="32"/>
        </w:rPr>
      </w:pPr>
      <w:bookmarkStart w:id="14" w:name="_Toc6572_WPSOffice_Level2"/>
      <w:bookmarkStart w:id="15" w:name="_Toc4833_WPSOffice_Level2"/>
      <w:bookmarkStart w:id="16" w:name="_Toc24059_WPSOffice_Level2"/>
      <w:bookmarkStart w:id="17" w:name="_Toc24474_WPSOffice_Level2"/>
      <w:bookmarkStart w:id="18" w:name="_Toc17796_WPSOffice_Level2"/>
      <w:r>
        <w:rPr>
          <w:rFonts w:hint="eastAsia" w:ascii="黑体" w:hAnsi="黑体" w:eastAsia="黑体" w:cs="黑体"/>
          <w:sz w:val="32"/>
          <w:szCs w:val="32"/>
        </w:rPr>
        <w:t>二、机构设置</w:t>
      </w:r>
      <w:bookmarkEnd w:id="14"/>
      <w:bookmarkEnd w:id="15"/>
      <w:bookmarkEnd w:id="16"/>
      <w:bookmarkEnd w:id="17"/>
      <w:bookmarkEnd w:id="18"/>
    </w:p>
    <w:p>
      <w:pPr>
        <w:shd w:val="clear" w:color="auto" w:fill="FFFFFF"/>
        <w:spacing w:before="100" w:beforeAutospacing="1" w:after="100" w:afterAutospacing="1"/>
        <w:ind w:firstLine="640" w:firstLineChars="200"/>
        <w:rPr>
          <w:rFonts w:ascii="黑体" w:hAnsi="黑体" w:eastAsia="黑体" w:cs="黑体"/>
          <w:sz w:val="32"/>
          <w:szCs w:val="32"/>
        </w:rPr>
      </w:pPr>
      <w:r>
        <w:rPr>
          <w:rFonts w:hint="eastAsia" w:ascii="仿宋_GB2312" w:hAnsi="ˎ̥" w:eastAsia="仿宋_GB2312"/>
          <w:sz w:val="32"/>
          <w:szCs w:val="32"/>
        </w:rPr>
        <w:t>设有办公室、兽医诊断检验科、疫情测报及网络管理科、兽医公共卫生科、兽医物品供应科、兽药饲料监察科、畜产品检测科等7个科级机构。海南省兽药饲料监察所为挂牌单位，单位地址位于海口市兴丹路16号省现代农业大楼。财政编制数为50人，本年度末实有人数 65人，其中在编人员40人，编外人员2人，劳务派遣人员23人。</w:t>
      </w:r>
    </w:p>
    <w:p>
      <w:pPr>
        <w:shd w:val="clear" w:color="auto" w:fill="FFFFFF"/>
        <w:spacing w:before="100" w:beforeAutospacing="1" w:after="100" w:afterAutospacing="1"/>
        <w:jc w:val="center"/>
        <w:rPr>
          <w:rFonts w:hint="eastAsia" w:ascii="黑体" w:hAnsi="ˎ̥" w:eastAsia="黑体"/>
          <w:sz w:val="32"/>
          <w:szCs w:val="32"/>
        </w:rPr>
      </w:pPr>
      <w:bookmarkStart w:id="19" w:name="_Toc8164_WPSOffice_Level1"/>
      <w:bookmarkStart w:id="20" w:name="_Toc30690_WPSOffice_Level1"/>
      <w:bookmarkStart w:id="21" w:name="_Toc6234_WPSOffice_Level1"/>
      <w:bookmarkStart w:id="22" w:name="_Toc15521_WPSOffice_Level1"/>
      <w:bookmarkStart w:id="23" w:name="_Toc28253_WPSOffice_Level1"/>
      <w:bookmarkStart w:id="24" w:name="_Toc30451_WPSOffice_Level1"/>
      <w:bookmarkStart w:id="25" w:name="_Toc6211_WPSOffice_Level2"/>
      <w:bookmarkStart w:id="26" w:name="_Toc32695_WPSOffice_Level2"/>
      <w:bookmarkStart w:id="27" w:name="_Toc8867_WPSOffice_Level2"/>
      <w:bookmarkStart w:id="28" w:name="_Toc11518_WPSOffice_Level2"/>
      <w:bookmarkStart w:id="29" w:name="_Toc32472_WPSOffice_Level2"/>
      <w:bookmarkStart w:id="30" w:name="_Toc4029_WPSOffice_Level2"/>
      <w:r>
        <w:rPr>
          <w:rFonts w:hint="eastAsia" w:ascii="黑体" w:hAnsi="ˎ̥" w:eastAsia="黑体"/>
          <w:sz w:val="32"/>
          <w:szCs w:val="32"/>
        </w:rPr>
        <w:t>第二部分  海南省动物疫病预防控制中心2021年度部门决算公开报表</w:t>
      </w:r>
      <w:bookmarkEnd w:id="19"/>
      <w:bookmarkEnd w:id="20"/>
      <w:bookmarkEnd w:id="21"/>
      <w:bookmarkEnd w:id="22"/>
      <w:bookmarkEnd w:id="23"/>
      <w:bookmarkEnd w:id="24"/>
    </w:p>
    <w:p>
      <w:pPr>
        <w:shd w:val="clear" w:color="auto" w:fill="FFFFFF"/>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5"/>
      <w:bookmarkEnd w:id="26"/>
      <w:bookmarkEnd w:id="27"/>
      <w:r>
        <w:rPr>
          <w:rFonts w:hint="eastAsia" w:ascii="黑体" w:hAnsi="黑体" w:eastAsia="黑体" w:cs="黑体"/>
          <w:sz w:val="32"/>
          <w:szCs w:val="32"/>
        </w:rPr>
        <w:t>。</w:t>
      </w:r>
      <w:bookmarkEnd w:id="28"/>
      <w:bookmarkEnd w:id="29"/>
      <w:bookmarkEnd w:id="30"/>
    </w:p>
    <w:p>
      <w:pPr>
        <w:shd w:val="clear" w:color="auto" w:fill="FFFFFF"/>
        <w:spacing w:before="100" w:beforeAutospacing="1" w:after="100" w:afterAutospacing="1"/>
        <w:ind w:firstLine="645"/>
        <w:rPr>
          <w:rFonts w:ascii="黑体" w:hAnsi="黑体" w:eastAsia="黑体" w:cs="黑体"/>
          <w:sz w:val="32"/>
          <w:szCs w:val="32"/>
        </w:rPr>
      </w:pPr>
      <w:bookmarkStart w:id="31" w:name="_Toc25608_WPSOffice_Level2"/>
      <w:bookmarkStart w:id="32" w:name="_Toc26621_WPSOffice_Level2"/>
      <w:bookmarkStart w:id="33" w:name="_Toc23139_WPSOffice_Level2"/>
      <w:bookmarkStart w:id="34" w:name="_Toc28622_WPSOffice_Level2"/>
      <w:bookmarkStart w:id="35" w:name="_Toc14349_WPSOffice_Level2"/>
      <w:bookmarkStart w:id="36" w:name="_Toc30334_WPSOffice_Level2"/>
      <w:r>
        <w:rPr>
          <w:rFonts w:hint="eastAsia" w:ascii="黑体" w:hAnsi="黑体" w:eastAsia="黑体" w:cs="黑体"/>
          <w:sz w:val="32"/>
          <w:szCs w:val="32"/>
        </w:rPr>
        <w:t>二、收入决算公开表（见正文附件）</w:t>
      </w:r>
      <w:bookmarkEnd w:id="31"/>
      <w:bookmarkEnd w:id="32"/>
      <w:bookmarkEnd w:id="33"/>
      <w:r>
        <w:rPr>
          <w:rFonts w:hint="eastAsia" w:ascii="黑体" w:hAnsi="黑体" w:eastAsia="黑体" w:cs="黑体"/>
          <w:sz w:val="32"/>
          <w:szCs w:val="32"/>
        </w:rPr>
        <w:t>。</w:t>
      </w:r>
      <w:bookmarkEnd w:id="34"/>
      <w:bookmarkEnd w:id="35"/>
      <w:bookmarkEnd w:id="36"/>
    </w:p>
    <w:p>
      <w:pPr>
        <w:shd w:val="clear" w:color="auto" w:fill="FFFFFF"/>
        <w:spacing w:before="100" w:beforeAutospacing="1" w:after="100" w:afterAutospacing="1"/>
        <w:ind w:firstLine="645"/>
        <w:rPr>
          <w:rFonts w:ascii="黑体" w:hAnsi="黑体" w:eastAsia="黑体" w:cs="黑体"/>
          <w:sz w:val="32"/>
          <w:szCs w:val="32"/>
        </w:rPr>
      </w:pPr>
      <w:bookmarkStart w:id="37" w:name="_Toc17858_WPSOffice_Level2"/>
      <w:bookmarkStart w:id="38" w:name="_Toc3262_WPSOffice_Level2"/>
      <w:bookmarkStart w:id="39" w:name="_Toc17626_WPSOffice_Level2"/>
      <w:bookmarkStart w:id="40" w:name="_Toc14658_WPSOffice_Level2"/>
      <w:bookmarkStart w:id="41" w:name="_Toc5489_WPSOffice_Level2"/>
      <w:bookmarkStart w:id="42" w:name="_Toc13854_WPSOffice_Level2"/>
      <w:r>
        <w:rPr>
          <w:rFonts w:hint="eastAsia" w:ascii="黑体" w:hAnsi="黑体" w:eastAsia="黑体" w:cs="黑体"/>
          <w:sz w:val="32"/>
          <w:szCs w:val="32"/>
        </w:rPr>
        <w:t>三、支出决算公开表（见正文附件）</w:t>
      </w:r>
      <w:bookmarkEnd w:id="37"/>
      <w:bookmarkEnd w:id="38"/>
      <w:bookmarkEnd w:id="39"/>
      <w:r>
        <w:rPr>
          <w:rFonts w:hint="eastAsia" w:ascii="黑体" w:hAnsi="黑体" w:eastAsia="黑体" w:cs="黑体"/>
          <w:sz w:val="32"/>
          <w:szCs w:val="32"/>
        </w:rPr>
        <w:t>。</w:t>
      </w:r>
      <w:bookmarkEnd w:id="40"/>
      <w:bookmarkEnd w:id="41"/>
      <w:bookmarkEnd w:id="42"/>
    </w:p>
    <w:p>
      <w:pPr>
        <w:shd w:val="clear" w:color="auto" w:fill="FFFFFF"/>
        <w:spacing w:before="100" w:beforeAutospacing="1" w:after="100" w:afterAutospacing="1"/>
        <w:ind w:firstLine="645"/>
        <w:rPr>
          <w:rFonts w:ascii="黑体" w:hAnsi="黑体" w:eastAsia="黑体" w:cs="黑体"/>
          <w:sz w:val="32"/>
          <w:szCs w:val="32"/>
        </w:rPr>
      </w:pPr>
      <w:bookmarkStart w:id="43" w:name="_Toc23591_WPSOffice_Level2"/>
      <w:bookmarkStart w:id="44" w:name="_Toc13701_WPSOffice_Level2"/>
      <w:bookmarkStart w:id="45" w:name="_Toc21415_WPSOffice_Level2"/>
      <w:bookmarkStart w:id="46" w:name="_Toc7988_WPSOffice_Level2"/>
      <w:bookmarkStart w:id="47" w:name="_Toc23493_WPSOffice_Level2"/>
      <w:bookmarkStart w:id="48" w:name="_Toc4265_WPSOffice_Level2"/>
      <w:r>
        <w:rPr>
          <w:rFonts w:hint="eastAsia" w:ascii="黑体" w:hAnsi="黑体" w:eastAsia="黑体" w:cs="黑体"/>
          <w:sz w:val="32"/>
          <w:szCs w:val="32"/>
        </w:rPr>
        <w:t>四、财政拨款收入支出决算公开表（见正文附件）</w:t>
      </w:r>
      <w:bookmarkEnd w:id="43"/>
      <w:bookmarkEnd w:id="44"/>
      <w:bookmarkEnd w:id="45"/>
      <w:r>
        <w:rPr>
          <w:rFonts w:hint="eastAsia" w:ascii="黑体" w:hAnsi="黑体" w:eastAsia="黑体" w:cs="黑体"/>
          <w:sz w:val="32"/>
          <w:szCs w:val="32"/>
        </w:rPr>
        <w:t>。</w:t>
      </w:r>
      <w:bookmarkEnd w:id="46"/>
      <w:bookmarkEnd w:id="47"/>
      <w:bookmarkEnd w:id="48"/>
    </w:p>
    <w:p>
      <w:pPr>
        <w:shd w:val="clear" w:color="auto" w:fill="FFFFFF"/>
        <w:spacing w:before="100" w:beforeAutospacing="1" w:after="100" w:afterAutospacing="1"/>
        <w:ind w:firstLine="645"/>
        <w:rPr>
          <w:rFonts w:ascii="黑体" w:hAnsi="黑体" w:eastAsia="黑体" w:cs="黑体"/>
          <w:sz w:val="32"/>
          <w:szCs w:val="32"/>
        </w:rPr>
      </w:pPr>
      <w:bookmarkStart w:id="49" w:name="_Toc25166_WPSOffice_Level2"/>
      <w:bookmarkStart w:id="50" w:name="_Toc7879_WPSOffice_Level2"/>
      <w:bookmarkStart w:id="51" w:name="_Toc23829_WPSOffice_Level2"/>
      <w:bookmarkStart w:id="52" w:name="_Toc22783_WPSOffice_Level2"/>
      <w:bookmarkStart w:id="53" w:name="_Toc13516_WPSOffice_Level2"/>
      <w:bookmarkStart w:id="54" w:name="_Toc2158_WPSOffice_Level2"/>
      <w:r>
        <w:rPr>
          <w:rFonts w:hint="eastAsia" w:ascii="黑体" w:hAnsi="黑体" w:eastAsia="黑体" w:cs="黑体"/>
          <w:sz w:val="32"/>
          <w:szCs w:val="32"/>
        </w:rPr>
        <w:t>五、一般公共预算财政拨款收入支出决算</w:t>
      </w:r>
      <w:bookmarkEnd w:id="49"/>
      <w:bookmarkEnd w:id="50"/>
      <w:bookmarkEnd w:id="51"/>
      <w:bookmarkEnd w:id="52"/>
      <w:r>
        <w:rPr>
          <w:rFonts w:hint="eastAsia" w:ascii="黑体" w:hAnsi="黑体" w:eastAsia="黑体" w:cs="黑体"/>
          <w:sz w:val="32"/>
          <w:szCs w:val="32"/>
        </w:rPr>
        <w:t>公开表</w:t>
      </w:r>
    </w:p>
    <w:p>
      <w:pPr>
        <w:shd w:val="clear" w:color="auto" w:fill="FFFFFF"/>
        <w:spacing w:before="100" w:beforeAutospacing="1" w:after="100" w:afterAutospacing="1"/>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53"/>
      <w:bookmarkEnd w:id="54"/>
      <w:r>
        <w:rPr>
          <w:rFonts w:hint="eastAsia" w:ascii="黑体" w:hAnsi="黑体" w:eastAsia="黑体" w:cs="黑体"/>
          <w:sz w:val="32"/>
          <w:szCs w:val="32"/>
        </w:rPr>
        <w:t>。</w:t>
      </w:r>
    </w:p>
    <w:p>
      <w:pPr>
        <w:shd w:val="clear" w:color="auto" w:fill="FFFFFF"/>
        <w:spacing w:before="100" w:beforeAutospacing="1" w:after="100" w:afterAutospacing="1"/>
        <w:ind w:firstLine="645"/>
        <w:rPr>
          <w:rFonts w:ascii="黑体" w:hAnsi="黑体" w:eastAsia="黑体" w:cs="黑体"/>
          <w:sz w:val="32"/>
          <w:szCs w:val="32"/>
        </w:rPr>
      </w:pPr>
      <w:bookmarkStart w:id="55" w:name="_Toc17283_WPSOffice_Level2"/>
      <w:bookmarkStart w:id="56" w:name="_Toc8373_WPSOffice_Level2"/>
      <w:bookmarkStart w:id="57" w:name="_Toc25362_WPSOffice_Level2"/>
      <w:bookmarkStart w:id="58" w:name="_Toc5343_WPSOffice_Level2"/>
      <w:bookmarkStart w:id="59" w:name="_Toc2632_WPSOffice_Level2"/>
      <w:bookmarkStart w:id="60" w:name="_Toc17833_WPSOffice_Level2"/>
      <w:r>
        <w:rPr>
          <w:rFonts w:hint="eastAsia" w:ascii="黑体" w:hAnsi="黑体" w:eastAsia="黑体" w:cs="黑体"/>
          <w:sz w:val="32"/>
          <w:szCs w:val="32"/>
        </w:rPr>
        <w:t>六、一般公共预算财政拨款基本支出决算</w:t>
      </w:r>
      <w:bookmarkEnd w:id="55"/>
      <w:bookmarkEnd w:id="56"/>
      <w:bookmarkEnd w:id="57"/>
      <w:bookmarkEnd w:id="58"/>
      <w:bookmarkEnd w:id="59"/>
      <w:bookmarkEnd w:id="60"/>
      <w:r>
        <w:rPr>
          <w:rFonts w:hint="eastAsia" w:ascii="黑体" w:hAnsi="黑体" w:eastAsia="黑体" w:cs="黑体"/>
          <w:sz w:val="32"/>
          <w:szCs w:val="32"/>
        </w:rPr>
        <w:t>公开表</w:t>
      </w:r>
    </w:p>
    <w:p>
      <w:pPr>
        <w:shd w:val="clear" w:color="auto" w:fill="FFFFFF"/>
        <w:spacing w:before="100" w:beforeAutospacing="1" w:after="100" w:afterAutospacing="1"/>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ind w:left="1210" w:leftChars="304" w:hanging="480" w:hangingChars="150"/>
        <w:rPr>
          <w:rFonts w:ascii="黑体" w:hAnsi="黑体" w:eastAsia="黑体" w:cs="黑体"/>
          <w:sz w:val="32"/>
          <w:szCs w:val="32"/>
        </w:rPr>
      </w:pPr>
      <w:bookmarkStart w:id="61" w:name="_Toc6020_WPSOffice_Level2"/>
      <w:bookmarkStart w:id="62" w:name="_Toc13345_WPSOffice_Level2"/>
      <w:bookmarkStart w:id="63" w:name="_Toc11799_WPSOffice_Level2"/>
      <w:bookmarkStart w:id="64" w:name="_Toc5594_WPSOffice_Level2"/>
      <w:bookmarkStart w:id="65" w:name="_Toc21310_WPSOffice_Level2"/>
      <w:bookmarkStart w:id="66" w:name="_Toc1533_WPSOffice_Level2"/>
      <w:r>
        <w:rPr>
          <w:rFonts w:hint="eastAsia" w:ascii="黑体" w:hAnsi="黑体" w:eastAsia="黑体" w:cs="黑体"/>
          <w:sz w:val="32"/>
          <w:szCs w:val="32"/>
        </w:rPr>
        <w:t>七、政府性基金预算财政拨款收入支出决算</w:t>
      </w:r>
      <w:bookmarkEnd w:id="61"/>
      <w:bookmarkEnd w:id="62"/>
      <w:bookmarkEnd w:id="63"/>
      <w:bookmarkEnd w:id="64"/>
      <w:bookmarkEnd w:id="65"/>
      <w:bookmarkEnd w:id="66"/>
      <w:r>
        <w:rPr>
          <w:rFonts w:hint="eastAsia" w:ascii="黑体" w:hAnsi="黑体" w:eastAsia="黑体" w:cs="黑体"/>
          <w:sz w:val="32"/>
          <w:szCs w:val="32"/>
        </w:rPr>
        <w:t>公开表</w:t>
      </w:r>
    </w:p>
    <w:p>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ind w:left="1210"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rPr>
          <w:rFonts w:ascii="黑体" w:hAnsi="黑体" w:eastAsia="黑体" w:cs="黑体"/>
          <w:sz w:val="32"/>
          <w:szCs w:val="32"/>
        </w:rPr>
      </w:pPr>
      <w:bookmarkStart w:id="67" w:name="_Toc19961_WPSOffice_Level2"/>
      <w:bookmarkStart w:id="68" w:name="_Toc1820_WPSOffice_Level2"/>
      <w:bookmarkStart w:id="69" w:name="_Toc9377_WPSOffice_Level2"/>
      <w:bookmarkStart w:id="70" w:name="_Toc29886_WPSOffice_Level2"/>
      <w:r>
        <w:rPr>
          <w:rFonts w:hint="eastAsia" w:ascii="黑体" w:hAnsi="黑体" w:eastAsia="黑体" w:cs="黑体"/>
          <w:sz w:val="32"/>
          <w:szCs w:val="32"/>
        </w:rPr>
        <w:t xml:space="preserve">    九、一般公共预算财政拨款“三公”经费支出决算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w:t>
      </w:r>
      <w:bookmarkEnd w:id="67"/>
      <w:bookmarkEnd w:id="68"/>
      <w:bookmarkEnd w:id="69"/>
      <w:bookmarkEnd w:id="70"/>
      <w:r>
        <w:rPr>
          <w:rFonts w:hint="eastAsia" w:ascii="黑体" w:hAnsi="黑体" w:eastAsia="黑体" w:cs="黑体"/>
          <w:sz w:val="32"/>
          <w:szCs w:val="32"/>
        </w:rPr>
        <w:t>公开表（见正文附件）。</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十、政府性基金预算财政拨款“三公”经费支出决算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公开表（见正文附件）。</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十一、国有资本经营预算财政拨款“三公”经费支出决算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公开表（见正文附件）。</w:t>
      </w:r>
    </w:p>
    <w:p>
      <w:pPr>
        <w:shd w:val="clear" w:color="auto" w:fill="FFFFFF"/>
        <w:spacing w:before="100" w:beforeAutospacing="1" w:after="100" w:afterAutospacing="1"/>
        <w:jc w:val="center"/>
        <w:rPr>
          <w:rFonts w:hint="eastAsia" w:ascii="黑体" w:hAnsi="ˎ̥" w:eastAsia="黑体"/>
          <w:sz w:val="32"/>
          <w:szCs w:val="32"/>
        </w:rPr>
      </w:pPr>
      <w:bookmarkStart w:id="71" w:name="_Toc4402_WPSOffice_Level1"/>
      <w:bookmarkStart w:id="72" w:name="_Toc27590_WPSOffice_Level1"/>
      <w:bookmarkStart w:id="73" w:name="_Toc16686_WPSOffice_Level1"/>
      <w:bookmarkStart w:id="74" w:name="_Toc28629_WPSOffice_Level1"/>
      <w:bookmarkStart w:id="75" w:name="_Toc29683_WPSOffice_Level1"/>
      <w:bookmarkStart w:id="76" w:name="_Toc31264_WPSOffice_Level1"/>
      <w:r>
        <w:rPr>
          <w:rFonts w:hint="eastAsia" w:ascii="黑体" w:hAnsi="ˎ̥" w:eastAsia="黑体"/>
          <w:sz w:val="32"/>
          <w:szCs w:val="32"/>
        </w:rPr>
        <w:t>第三部分海南省动物疫病预防控制中心2021年度部门决算情况说明</w:t>
      </w:r>
      <w:bookmarkEnd w:id="71"/>
      <w:bookmarkEnd w:id="72"/>
      <w:bookmarkEnd w:id="73"/>
      <w:bookmarkEnd w:id="74"/>
      <w:bookmarkEnd w:id="75"/>
      <w:bookmarkEnd w:id="76"/>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黑体" w:hAnsi="黑体" w:eastAsia="黑体" w:cs="黑体"/>
          <w:bCs/>
          <w:sz w:val="32"/>
          <w:szCs w:val="32"/>
        </w:rPr>
        <w:t>一、收入支出决算总体情况说明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rPr>
        <w:t>2021年度收入总计</w:t>
      </w:r>
      <w:r>
        <w:rPr>
          <w:rFonts w:hint="eastAsia" w:ascii="仿宋_GB2312" w:eastAsia="仿宋_GB2312"/>
          <w:sz w:val="32"/>
          <w:szCs w:val="32"/>
        </w:rPr>
        <w:t>1,908.55</w:t>
      </w:r>
      <w:r>
        <w:rPr>
          <w:rFonts w:hint="eastAsia" w:ascii="仿宋_GB2312" w:hAnsi="ˎ̥" w:eastAsia="仿宋_GB2312"/>
          <w:sz w:val="32"/>
          <w:szCs w:val="32"/>
        </w:rPr>
        <w:t>万元，支出总计</w:t>
      </w:r>
      <w:r>
        <w:rPr>
          <w:rFonts w:hint="eastAsia" w:ascii="仿宋_GB2312" w:eastAsia="仿宋_GB2312"/>
          <w:sz w:val="32"/>
          <w:szCs w:val="32"/>
        </w:rPr>
        <w:t>1,908.55</w:t>
      </w:r>
      <w:r>
        <w:rPr>
          <w:rFonts w:hint="eastAsia" w:ascii="仿宋_GB2312" w:hAnsi="ˎ̥" w:eastAsia="仿宋_GB2312"/>
          <w:sz w:val="32"/>
          <w:szCs w:val="32"/>
        </w:rPr>
        <w:t>万元，与2020年度相比，收入、支出总计各减少2655.16万元，下降58.17%。主要原因：一是财政拨款收入减少，其中基本支出收入减少36.77万元，项目支出收入减少1205.95万元；二是2020年有年初结转和结余资金1412.37万元，2021年没有年初结转和结余。使用非财政拨款结余</w:t>
      </w:r>
      <w:r>
        <w:rPr>
          <w:rFonts w:hint="eastAsia" w:ascii="仿宋_GB2312" w:eastAsia="仿宋_GB2312"/>
          <w:sz w:val="32"/>
          <w:szCs w:val="32"/>
        </w:rPr>
        <w:t>6.33</w:t>
      </w:r>
      <w:r>
        <w:rPr>
          <w:rFonts w:hint="eastAsia" w:ascii="仿宋_GB2312" w:hAnsi="ˎ̥" w:eastAsia="仿宋_GB2312"/>
          <w:sz w:val="32"/>
          <w:szCs w:val="32"/>
        </w:rPr>
        <w:t>万元，较2020年度决算数减少29.3万元，主要原因是严格各项资金支出。年初结转结余</w:t>
      </w:r>
      <w:r>
        <w:rPr>
          <w:rFonts w:hint="eastAsia" w:ascii="仿宋_GB2312" w:eastAsia="仿宋_GB2312"/>
          <w:sz w:val="32"/>
          <w:szCs w:val="32"/>
        </w:rPr>
        <w:t>0.00</w:t>
      </w:r>
      <w:r>
        <w:rPr>
          <w:rFonts w:hint="eastAsia" w:ascii="仿宋_GB2312" w:hAnsi="ˎ̥" w:eastAsia="仿宋_GB2312"/>
          <w:sz w:val="32"/>
          <w:szCs w:val="32"/>
        </w:rPr>
        <w:t>万元，较2020年度决算数减少1412.37万元，下降100%，主要原因是2021年项目资金已全部支出完成。结余分配</w:t>
      </w:r>
      <w:r>
        <w:rPr>
          <w:rFonts w:hint="eastAsia" w:ascii="仿宋_GB2312" w:eastAsia="仿宋_GB2312"/>
          <w:sz w:val="32"/>
          <w:szCs w:val="32"/>
        </w:rPr>
        <w:t>0.00</w:t>
      </w:r>
      <w:r>
        <w:rPr>
          <w:rFonts w:hint="eastAsia" w:ascii="仿宋_GB2312" w:hAnsi="ˎ̥" w:eastAsia="仿宋_GB2312"/>
          <w:sz w:val="32"/>
          <w:szCs w:val="32"/>
        </w:rPr>
        <w:t>万元，较2020年度决算数一样，都没有结余分配。年末结转结余</w:t>
      </w:r>
      <w:r>
        <w:rPr>
          <w:rFonts w:hint="eastAsia" w:ascii="仿宋_GB2312" w:eastAsia="仿宋_GB2312"/>
          <w:sz w:val="32"/>
          <w:szCs w:val="32"/>
        </w:rPr>
        <w:t>0.00</w:t>
      </w:r>
      <w:r>
        <w:rPr>
          <w:rFonts w:hint="eastAsia" w:ascii="仿宋_GB2312" w:hAnsi="ˎ̥" w:eastAsia="仿宋_GB2312"/>
          <w:sz w:val="32"/>
          <w:szCs w:val="32"/>
        </w:rPr>
        <w:t xml:space="preserve">万元，较2020年度决算数减少0.06万元，下降100%，主要原因是2021年没有年末结转和结余。   </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w:t>
      </w:r>
      <w:r>
        <w:rPr>
          <w:rFonts w:hint="eastAsia" w:ascii="仿宋_GB2312" w:eastAsia="仿宋_GB2312"/>
          <w:sz w:val="32"/>
          <w:szCs w:val="32"/>
        </w:rPr>
        <w:t>1,902.23</w:t>
      </w:r>
      <w:r>
        <w:rPr>
          <w:rFonts w:hint="eastAsia" w:ascii="仿宋_GB2312" w:hAnsi="ˎ̥" w:eastAsia="仿宋_GB2312"/>
          <w:sz w:val="32"/>
          <w:szCs w:val="32"/>
        </w:rPr>
        <w:t>万元，其中：财政拨款收入</w:t>
      </w:r>
      <w:r>
        <w:rPr>
          <w:rFonts w:hint="eastAsia" w:ascii="仿宋_GB2312" w:eastAsia="仿宋_GB2312"/>
          <w:sz w:val="32"/>
          <w:szCs w:val="32"/>
        </w:rPr>
        <w:t>1,902.18</w:t>
      </w:r>
      <w:r>
        <w:rPr>
          <w:rFonts w:hint="eastAsia" w:ascii="仿宋_GB2312" w:hAnsi="ˎ̥" w:eastAsia="仿宋_GB2312"/>
          <w:sz w:val="32"/>
          <w:szCs w:val="32"/>
        </w:rPr>
        <w:t>万元，占99.99%；上级补助收入</w:t>
      </w:r>
      <w:r>
        <w:rPr>
          <w:rFonts w:hint="eastAsia" w:ascii="仿宋_GB2312" w:eastAsia="仿宋_GB2312"/>
          <w:sz w:val="32"/>
          <w:szCs w:val="32"/>
        </w:rPr>
        <w:t>0.00</w:t>
      </w:r>
      <w:r>
        <w:rPr>
          <w:rFonts w:hint="eastAsia" w:ascii="仿宋_GB2312" w:hAnsi="ˎ̥" w:eastAsia="仿宋_GB2312"/>
          <w:sz w:val="32"/>
          <w:szCs w:val="32"/>
        </w:rPr>
        <w:t>万元，占0%；事业收入</w:t>
      </w:r>
      <w:r>
        <w:rPr>
          <w:rFonts w:hint="eastAsia" w:ascii="仿宋_GB2312" w:eastAsia="仿宋_GB2312"/>
          <w:sz w:val="32"/>
          <w:szCs w:val="32"/>
        </w:rPr>
        <w:t>0.00</w:t>
      </w:r>
      <w:r>
        <w:rPr>
          <w:rFonts w:hint="eastAsia" w:ascii="仿宋_GB2312" w:hAnsi="ˎ̥" w:eastAsia="仿宋_GB2312"/>
          <w:sz w:val="32"/>
          <w:szCs w:val="32"/>
        </w:rPr>
        <w:t>万元，占0%；经营收入</w:t>
      </w:r>
      <w:r>
        <w:rPr>
          <w:rFonts w:hint="eastAsia" w:ascii="仿宋_GB2312" w:eastAsia="仿宋_GB2312"/>
          <w:sz w:val="32"/>
          <w:szCs w:val="32"/>
        </w:rPr>
        <w:t>0.00</w:t>
      </w:r>
      <w:r>
        <w:rPr>
          <w:rFonts w:hint="eastAsia" w:ascii="仿宋_GB2312" w:hAnsi="ˎ̥" w:eastAsia="仿宋_GB2312"/>
          <w:sz w:val="32"/>
          <w:szCs w:val="32"/>
        </w:rPr>
        <w:t>万元，占0%；附属单位上缴收入</w:t>
      </w:r>
      <w:r>
        <w:rPr>
          <w:rFonts w:hint="eastAsia" w:ascii="仿宋_GB2312" w:eastAsia="仿宋_GB2312"/>
          <w:sz w:val="32"/>
          <w:szCs w:val="32"/>
        </w:rPr>
        <w:t>0.00</w:t>
      </w:r>
      <w:r>
        <w:rPr>
          <w:rFonts w:hint="eastAsia" w:ascii="仿宋_GB2312" w:hAnsi="ˎ̥" w:eastAsia="仿宋_GB2312"/>
          <w:sz w:val="32"/>
          <w:szCs w:val="32"/>
        </w:rPr>
        <w:t>万元，占0%；其他收入</w:t>
      </w:r>
      <w:r>
        <w:rPr>
          <w:rFonts w:hint="eastAsia" w:ascii="仿宋_GB2312" w:eastAsia="仿宋_GB2312"/>
          <w:sz w:val="32"/>
          <w:szCs w:val="32"/>
        </w:rPr>
        <w:t>0.04</w:t>
      </w:r>
      <w:r>
        <w:rPr>
          <w:rFonts w:hint="eastAsia" w:ascii="仿宋_GB2312" w:hAnsi="ˎ̥" w:eastAsia="仿宋_GB2312"/>
          <w:sz w:val="32"/>
          <w:szCs w:val="32"/>
        </w:rPr>
        <w:t>万元，占0.01%。</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三、支出决算情况说明</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本年支出合计1,908.55万元，其中：基本支出984.95万元，占51.6%；项目支出923.60万元，占48.4%；上缴上级支出0.00万元，占0%；经营支出0.00万元，占0%；对附属单位补助支出0.00万元，占0%。</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财政拨款收入总计1,902.18万元，支出总计1,902.18万元。与2020年度相比，财政拨款收入、支出总计各减少2591.39万元，下降57.66%。主要原因：一是项目收入、支出减少1206.01万元；二是基本收入、支出减少7.39万元。三是年初财政拨款结转和结余减少1377.99万元。</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财政拨款年初结转结余0.00万元，较2020年度决算数减少1377.99万元，下降100%，主要原因是2021年财政项目资金已全部支出完成。</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财政拨款年末结转结余0.00万元，较2020年度年末决算数减少0.06万元，下降100%，主要原因是2021年没有财政拨款年末结转和结余。</w:t>
      </w:r>
    </w:p>
    <w:p>
      <w:pPr>
        <w:ind w:firstLine="640" w:firstLineChars="200"/>
        <w:rPr>
          <w:rFonts w:hint="eastAsia" w:ascii="仿宋_GB2312" w:hAnsi="ˎ̥" w:eastAsia="仿宋_GB2312"/>
          <w:sz w:val="32"/>
          <w:szCs w:val="32"/>
        </w:rPr>
      </w:pPr>
      <w:r>
        <w:rPr>
          <w:rFonts w:hint="eastAsia" w:ascii="黑体" w:hAnsi="黑体" w:eastAsia="黑体" w:cs="黑体"/>
          <w:bCs/>
          <w:sz w:val="32"/>
          <w:szCs w:val="32"/>
        </w:rPr>
        <w:t>五、一般公共预算财政拨款支出决算情况说明</w:t>
      </w:r>
      <w:bookmarkStart w:id="77" w:name="_Toc9989_WPSOffice_Level2"/>
      <w:bookmarkStart w:id="78" w:name="_Toc23005_WPSOffice_Level2"/>
      <w:bookmarkStart w:id="79" w:name="_Toc17398_WPSOffice_Level2"/>
      <w:bookmarkStart w:id="80" w:name="_Toc21737_WPSOffice_Level2"/>
      <w:bookmarkStart w:id="81" w:name="_Toc13694_WPSOffice_Level2"/>
      <w:bookmarkStart w:id="82" w:name="_Toc19665_WPSOffice_Level2"/>
    </w:p>
    <w:p>
      <w:pPr>
        <w:ind w:firstLine="640" w:firstLineChars="200"/>
        <w:rPr>
          <w:rFonts w:hint="eastAsia" w:ascii="仿宋_GB2312" w:hAnsi="ˎ̥" w:eastAsia="仿宋_GB2312"/>
          <w:sz w:val="32"/>
          <w:szCs w:val="32"/>
        </w:rPr>
      </w:pPr>
      <w:r>
        <w:rPr>
          <w:rFonts w:hint="eastAsia" w:ascii="仿宋_GB2312" w:hAnsi="ˎ̥" w:eastAsia="仿宋_GB2312"/>
          <w:sz w:val="32"/>
          <w:szCs w:val="32"/>
        </w:rPr>
        <w:t>（一）一般公共预算财政拨款支出决算总体情况</w:t>
      </w:r>
      <w:bookmarkEnd w:id="77"/>
      <w:bookmarkEnd w:id="78"/>
      <w:bookmarkEnd w:id="79"/>
      <w:bookmarkEnd w:id="80"/>
      <w:bookmarkEnd w:id="81"/>
      <w:bookmarkEnd w:id="82"/>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2021年度一般公共预算财政拨款支出1,902.18万元，占本年支出合计的99.66%。与2020年度相比，一般公共预算财政拨款支出减少2591.39万元，下降57.66%，主要原因一是项目支出减少2584万元；二是基本支出减少7.39万元。</w:t>
      </w:r>
      <w:bookmarkStart w:id="83" w:name="_Toc18793_WPSOffice_Level2"/>
      <w:bookmarkStart w:id="84" w:name="_Toc2711_WPSOffice_Level2"/>
      <w:bookmarkStart w:id="85" w:name="_Toc19535_WPSOffice_Level2"/>
      <w:bookmarkStart w:id="86" w:name="_Toc27767_WPSOffice_Level2"/>
      <w:bookmarkStart w:id="87" w:name="_Toc19075_WPSOffice_Level2"/>
      <w:bookmarkStart w:id="88" w:name="_Toc23864_WPSOffice_Level2"/>
    </w:p>
    <w:p>
      <w:pPr>
        <w:ind w:firstLine="640" w:firstLineChars="200"/>
        <w:rPr>
          <w:rFonts w:hint="eastAsia" w:ascii="仿宋_GB2312" w:hAnsi="ˎ̥" w:eastAsia="仿宋_GB2312"/>
          <w:sz w:val="32"/>
          <w:szCs w:val="32"/>
        </w:rPr>
      </w:pPr>
      <w:r>
        <w:rPr>
          <w:rFonts w:hint="eastAsia" w:ascii="仿宋_GB2312" w:hAnsi="ˎ̥" w:eastAsia="仿宋_GB2312"/>
          <w:sz w:val="32"/>
          <w:szCs w:val="32"/>
        </w:rPr>
        <w:t>（二）一般公共预算财政拨款支出决算结构情况</w:t>
      </w:r>
      <w:bookmarkEnd w:id="83"/>
      <w:bookmarkEnd w:id="84"/>
      <w:r>
        <w:rPr>
          <w:rFonts w:hint="eastAsia" w:ascii="仿宋_GB2312" w:hAnsi="ˎ̥" w:eastAsia="仿宋_GB2312"/>
          <w:sz w:val="32"/>
          <w:szCs w:val="32"/>
        </w:rPr>
        <w:t>。</w:t>
      </w:r>
      <w:bookmarkEnd w:id="85"/>
      <w:bookmarkEnd w:id="86"/>
      <w:bookmarkEnd w:id="87"/>
      <w:bookmarkEnd w:id="88"/>
      <w:r>
        <w:rPr>
          <w:rFonts w:hint="eastAsia" w:ascii="仿宋_GB2312" w:hAnsi="ˎ̥" w:eastAsia="仿宋_GB2312"/>
          <w:sz w:val="32"/>
          <w:szCs w:val="32"/>
        </w:rPr>
        <w:t>2021年度一般公共预算财政拨款支出1,902.18万元，主要用于以下方面：一</w:t>
      </w:r>
      <w:r>
        <w:rPr>
          <w:rFonts w:hint="eastAsia" w:ascii="仿宋_GB2312" w:hAnsi="ˎ̥" w:eastAsia="仿宋_GB2312"/>
          <w:b/>
          <w:sz w:val="32"/>
          <w:szCs w:val="32"/>
        </w:rPr>
        <w:t>社会保障和就业（类）</w:t>
      </w:r>
      <w:r>
        <w:rPr>
          <w:rFonts w:hint="eastAsia" w:ascii="仿宋_GB2312" w:hAnsi="ˎ̥" w:eastAsia="仿宋_GB2312"/>
          <w:sz w:val="32"/>
          <w:szCs w:val="32"/>
        </w:rPr>
        <w:t>支出96.34万元，占5.07%；</w:t>
      </w:r>
      <w:r>
        <w:rPr>
          <w:rFonts w:hint="eastAsia" w:ascii="仿宋_GB2312" w:hAnsi="ˎ̥" w:eastAsia="仿宋_GB2312"/>
          <w:b/>
          <w:sz w:val="32"/>
          <w:szCs w:val="32"/>
        </w:rPr>
        <w:t>二卫生健康（类）</w:t>
      </w:r>
      <w:r>
        <w:rPr>
          <w:rFonts w:hint="eastAsia" w:ascii="仿宋_GB2312" w:hAnsi="ˎ̥" w:eastAsia="仿宋_GB2312"/>
          <w:sz w:val="32"/>
          <w:szCs w:val="32"/>
        </w:rPr>
        <w:t>支出33.95万元，占1.78%；</w:t>
      </w:r>
      <w:r>
        <w:rPr>
          <w:rFonts w:hint="eastAsia" w:ascii="仿宋_GB2312" w:hAnsi="ˎ̥" w:eastAsia="仿宋_GB2312"/>
          <w:b/>
          <w:sz w:val="32"/>
          <w:szCs w:val="32"/>
        </w:rPr>
        <w:t>三农林水（类）</w:t>
      </w:r>
      <w:r>
        <w:rPr>
          <w:rFonts w:hint="eastAsia" w:ascii="仿宋_GB2312" w:hAnsi="ˎ̥" w:eastAsia="仿宋_GB2312"/>
          <w:sz w:val="32"/>
          <w:szCs w:val="32"/>
        </w:rPr>
        <w:t>支出1718.38万元，占90.34%；</w:t>
      </w:r>
      <w:r>
        <w:rPr>
          <w:rFonts w:hint="eastAsia" w:ascii="仿宋_GB2312" w:hAnsi="ˎ̥" w:eastAsia="仿宋_GB2312"/>
          <w:b/>
          <w:bCs/>
          <w:sz w:val="32"/>
          <w:szCs w:val="32"/>
        </w:rPr>
        <w:t>四住房保障（类）</w:t>
      </w:r>
      <w:r>
        <w:rPr>
          <w:rFonts w:hint="eastAsia" w:ascii="仿宋_GB2312" w:hAnsi="ˎ̥" w:eastAsia="仿宋_GB2312"/>
          <w:sz w:val="32"/>
          <w:szCs w:val="32"/>
        </w:rPr>
        <w:t>支出53.51万元，占2.81%。</w:t>
      </w:r>
      <w:bookmarkStart w:id="89" w:name="_Toc29364_WPSOffice_Level2"/>
      <w:bookmarkStart w:id="90" w:name="_Toc25136_WPSOffice_Level2"/>
      <w:bookmarkStart w:id="91" w:name="_Toc21701_WPSOffice_Level2"/>
      <w:bookmarkStart w:id="92" w:name="_Toc22318_WPSOffice_Level2"/>
      <w:bookmarkStart w:id="93" w:name="_Toc15415_WPSOffice_Level2"/>
      <w:bookmarkStart w:id="94" w:name="_Toc9502_WPSOffice_Level2"/>
    </w:p>
    <w:p>
      <w:pPr>
        <w:ind w:firstLine="640" w:firstLineChars="200"/>
        <w:rPr>
          <w:rFonts w:hint="eastAsia" w:ascii="仿宋_GB2312" w:hAnsi="ˎ̥" w:eastAsia="仿宋_GB2312"/>
          <w:sz w:val="32"/>
          <w:szCs w:val="32"/>
        </w:rPr>
      </w:pPr>
      <w:r>
        <w:rPr>
          <w:rFonts w:hint="eastAsia" w:ascii="仿宋_GB2312" w:hAnsi="ˎ̥" w:eastAsia="仿宋_GB2312"/>
          <w:sz w:val="32"/>
          <w:szCs w:val="32"/>
        </w:rPr>
        <w:t>（三）一般公共预算财政拨款支出决算具体情况。</w:t>
      </w:r>
      <w:bookmarkEnd w:id="89"/>
      <w:bookmarkEnd w:id="90"/>
      <w:bookmarkEnd w:id="91"/>
      <w:bookmarkEnd w:id="92"/>
      <w:bookmarkEnd w:id="93"/>
      <w:bookmarkEnd w:id="94"/>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2021年度一般公共预算财政拨款支出年初预算为1478.66万元，支出决算为1,902.18万元，完成年初预算的128.64%。其中：</w:t>
      </w:r>
    </w:p>
    <w:p>
      <w:pPr>
        <w:ind w:firstLine="643" w:firstLineChars="200"/>
        <w:rPr>
          <w:rFonts w:hint="eastAsia" w:ascii="仿宋_GB2312" w:hAnsi="ˎ̥" w:eastAsia="仿宋_GB2312"/>
          <w:b/>
          <w:sz w:val="32"/>
          <w:szCs w:val="32"/>
        </w:rPr>
      </w:pPr>
      <w:r>
        <w:rPr>
          <w:rFonts w:hint="eastAsia" w:ascii="仿宋_GB2312" w:hAnsi="ˎ̥" w:eastAsia="仿宋_GB2312"/>
          <w:b/>
          <w:sz w:val="32"/>
          <w:szCs w:val="32"/>
        </w:rPr>
        <w:t>1. 社会保障和就业支出（类）行政事业单位养老支出（款）机关事业单位基本养老保险缴费支出（项）</w:t>
      </w:r>
      <w:r>
        <w:rPr>
          <w:rFonts w:hint="eastAsia" w:ascii="仿宋_GB2312" w:hAnsi="ˎ̥" w:eastAsia="仿宋_GB2312"/>
          <w:sz w:val="32"/>
          <w:szCs w:val="32"/>
        </w:rPr>
        <w:t>年初预算为94.95万元，支出决算为96.34万元，完成年初预算的101.46%。决算数大于预算数的主要原因养老缴费基数有所调高及有新增职工死亡抚恤金、职业年金的支出.</w:t>
      </w:r>
      <w:r>
        <w:rPr>
          <w:rFonts w:hint="eastAsia" w:ascii="仿宋_GB2312" w:hAnsi="ˎ̥" w:eastAsia="仿宋_GB2312"/>
          <w:b/>
          <w:sz w:val="32"/>
          <w:szCs w:val="32"/>
        </w:rPr>
        <w:t xml:space="preserve"> </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2. 卫生健康支出（类）行政事业单位医疗（款）事业单位医疗（项）</w:t>
      </w:r>
      <w:r>
        <w:rPr>
          <w:rFonts w:hint="eastAsia" w:ascii="仿宋_GB2312" w:hAnsi="ˎ̥" w:eastAsia="仿宋_GB2312"/>
          <w:sz w:val="32"/>
          <w:szCs w:val="32"/>
        </w:rPr>
        <w:t>年初预算为36.37万元，支出决算为33.95万元，完成年初预算的93.34%。决算数小于预算数的主要原因2021年有新增退休人员。</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3. 农林水支出（类）农业农村（款）事业运行（项）</w:t>
      </w:r>
      <w:r>
        <w:rPr>
          <w:rFonts w:hint="eastAsia" w:ascii="仿宋_GB2312" w:hAnsi="ˎ̥" w:eastAsia="仿宋_GB2312"/>
          <w:sz w:val="32"/>
          <w:szCs w:val="32"/>
        </w:rPr>
        <w:t>年初预算为931.45万元，支出决算为794.78万元，完成年初预算的85.32%。决算数小于预算数的主要原因2021年5月调整长聘人员工资指标111.6万元到病虫害控制项目（动物疫病防控经费项目），还有新增退休人员，没有新调入人员。</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4</w:t>
      </w:r>
      <w:r>
        <w:rPr>
          <w:rFonts w:hint="eastAsia" w:ascii="仿宋_GB2312" w:hAnsi="ˎ̥" w:eastAsia="仿宋_GB2312"/>
          <w:sz w:val="32"/>
          <w:szCs w:val="32"/>
        </w:rPr>
        <w:t>.</w:t>
      </w:r>
      <w:r>
        <w:rPr>
          <w:rFonts w:hint="eastAsia" w:ascii="仿宋_GB2312" w:hAnsi="ˎ̥" w:eastAsia="仿宋_GB2312"/>
          <w:b/>
          <w:sz w:val="32"/>
          <w:szCs w:val="32"/>
        </w:rPr>
        <w:t xml:space="preserve"> 农林水支出（类）农业农村（款）病虫害控制（项）</w:t>
      </w:r>
      <w:r>
        <w:rPr>
          <w:rFonts w:hint="eastAsia" w:ascii="仿宋_GB2312" w:hAnsi="ˎ̥" w:eastAsia="仿宋_GB2312"/>
          <w:sz w:val="32"/>
          <w:szCs w:val="32"/>
        </w:rPr>
        <w:t>年初预算为305万元，支出决算为867.6万元，完成年初预算的284.46%。决算数大于预算数的主要原因：一是5月份调整长聘人员工资指标111.6万元到病虫害控制项（动物疫病防控经费项目）。二是6月份中央转移支付资金追加动物防疫补助资金276万元用于购置动物疫苗。三是9月财政追加动物疫病预防控制体系建设项目175万元。</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5.农林水支出（类）农业农村（款）农产品质量安全（项）</w:t>
      </w:r>
      <w:r>
        <w:rPr>
          <w:rFonts w:hint="eastAsia" w:ascii="仿宋_GB2312" w:hAnsi="ˎ̥" w:eastAsia="仿宋_GB2312"/>
          <w:sz w:val="32"/>
          <w:szCs w:val="32"/>
        </w:rPr>
        <w:t>年初预算为56万元，支出决算为56万元，完成年初预算的100%。</w:t>
      </w:r>
    </w:p>
    <w:p>
      <w:pPr>
        <w:ind w:firstLine="643" w:firstLineChars="200"/>
        <w:rPr>
          <w:rFonts w:hint="eastAsia" w:ascii="仿宋_GB2312" w:hAnsi="ˎ̥" w:eastAsia="仿宋_GB2312"/>
          <w:sz w:val="32"/>
          <w:szCs w:val="32"/>
        </w:rPr>
      </w:pPr>
      <w:r>
        <w:rPr>
          <w:rFonts w:hint="eastAsia" w:ascii="仿宋_GB2312" w:hAnsi="ˎ̥" w:eastAsia="仿宋_GB2312"/>
          <w:b/>
          <w:sz w:val="32"/>
          <w:szCs w:val="32"/>
        </w:rPr>
        <w:t>6.</w:t>
      </w:r>
      <w:r>
        <w:rPr>
          <w:rFonts w:hint="eastAsia"/>
        </w:rPr>
        <w:t xml:space="preserve"> </w:t>
      </w:r>
      <w:r>
        <w:rPr>
          <w:rFonts w:hint="eastAsia" w:ascii="仿宋_GB2312" w:hAnsi="ˎ̥" w:eastAsia="仿宋_GB2312"/>
          <w:b/>
          <w:sz w:val="32"/>
          <w:szCs w:val="32"/>
        </w:rPr>
        <w:t>住房保障支出（类）住房改革支出（款）住房公积金（项）</w:t>
      </w:r>
      <w:r>
        <w:rPr>
          <w:rFonts w:hint="eastAsia" w:ascii="仿宋_GB2312" w:hAnsi="ˎ̥" w:eastAsia="仿宋_GB2312"/>
          <w:sz w:val="32"/>
          <w:szCs w:val="32"/>
        </w:rPr>
        <w:t>年初预算为54.9万元，支出决算为53.51万元，完成年初预算的97.47%。决算数小于预算数的主要原因在有在职人员退休。</w:t>
      </w:r>
    </w:p>
    <w:p>
      <w:pPr>
        <w:ind w:firstLine="640" w:firstLineChars="200"/>
        <w:rPr>
          <w:rFonts w:ascii="黑体" w:hAnsi="黑体" w:eastAsia="黑体" w:cs="黑体"/>
          <w:bCs/>
          <w:sz w:val="32"/>
          <w:szCs w:val="32"/>
        </w:rPr>
      </w:pPr>
      <w:r>
        <w:rPr>
          <w:rFonts w:hint="eastAsia" w:ascii="黑体" w:hAnsi="黑体" w:eastAsia="黑体" w:cs="黑体"/>
          <w:bCs/>
          <w:sz w:val="32"/>
          <w:szCs w:val="32"/>
        </w:rPr>
        <w:t>六、一般公共预算财政拨款基本支出决算情况说明。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2021年度财政拨款基本支出978.59万元，其中：人员经费835.35万元，主要包括：工资福利支出中的基本工资、津贴补贴、绩效工资、机关事业单位基本养老保险缴费、职业年金缴费、职工基本医疗保险缴费、其他社会保障缴费、住房公积金、医疗费、其他工资福利支出；对个人和家庭的补助中的抚恤金、生活补助、奖励金、其他对个人和家庭的补助。公用经费143.24万元，主要包括：商品和服务支出中的办公费、印刷费、手续费、水费、电费、邮电费、物业管理费、差旅费、维修（护）费、培训费、公务接待费、专用材料费、劳务费、委托业务费、工会经费、公务用车运行维护费、其他交通费用、其他商品和服务支出；资本性支出中的办公设备购置、专用设备购置。</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七、政府性基金预算财政拨款支出决算情况说明</w:t>
      </w:r>
    </w:p>
    <w:p>
      <w:pPr>
        <w:tabs>
          <w:tab w:val="center" w:pos="4473"/>
        </w:tabs>
        <w:ind w:firstLine="320" w:firstLineChars="100"/>
        <w:rPr>
          <w:rFonts w:hint="eastAsia" w:ascii="仿宋_GB2312" w:hAnsi="ˎ̥" w:eastAsia="仿宋_GB2312"/>
          <w:sz w:val="32"/>
          <w:szCs w:val="32"/>
        </w:rPr>
      </w:pPr>
      <w:r>
        <w:rPr>
          <w:rFonts w:hint="eastAsia" w:ascii="仿宋_GB2312" w:hAnsi="ˎ̥" w:eastAsia="仿宋_GB2312"/>
          <w:sz w:val="32"/>
          <w:szCs w:val="32"/>
        </w:rPr>
        <w:t>注：我单位没有此项经费，没有此项支出，特此说明。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八、国有资本经营预算财政拨款支出决算情况说明</w:t>
      </w:r>
    </w:p>
    <w:p>
      <w:pPr>
        <w:tabs>
          <w:tab w:val="center" w:pos="4473"/>
        </w:tabs>
        <w:ind w:firstLine="320" w:firstLineChars="100"/>
        <w:rPr>
          <w:rFonts w:hint="eastAsia" w:ascii="仿宋_GB2312" w:hAnsi="ˎ̥" w:eastAsia="仿宋_GB2312"/>
          <w:sz w:val="32"/>
          <w:szCs w:val="32"/>
        </w:rPr>
      </w:pPr>
      <w:r>
        <w:rPr>
          <w:rFonts w:hint="eastAsia" w:ascii="仿宋_GB2312" w:hAnsi="ˎ̥" w:eastAsia="仿宋_GB2312"/>
          <w:sz w:val="32"/>
          <w:szCs w:val="32"/>
        </w:rPr>
        <w:t>注：我单位没有此项经费，没有此项支出，特此说明。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九、一般公共预算财政拨款“三公”经费支出决算情况说明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仿宋_GB2312" w:hAnsi="ˎ̥" w:eastAsia="仿宋_GB2312"/>
          <w:sz w:val="32"/>
          <w:szCs w:val="32"/>
        </w:rPr>
        <w:t>（一）一般公共预算财政拨款“三公”经费支出决算总体情况说明。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仿宋_GB2312" w:hAnsi="ˎ̥" w:eastAsia="仿宋_GB2312"/>
          <w:sz w:val="32"/>
          <w:szCs w:val="32"/>
        </w:rPr>
        <w:t>2021年度一般公共预算财政拨款“三公”经费支出预算为7.94万元，支出决算为3.73万元，完成预算的46.98%。</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仿宋_GB2312" w:hAnsi="ˎ̥" w:eastAsia="仿宋_GB2312"/>
          <w:sz w:val="32"/>
          <w:szCs w:val="32"/>
        </w:rPr>
        <w:t>（二）一般公共预算财政拨款“三公”经费支出决算具体情况说明。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仿宋_GB2312" w:hAnsi="ˎ̥" w:eastAsia="仿宋_GB2312"/>
          <w:sz w:val="32"/>
          <w:szCs w:val="32"/>
        </w:rPr>
        <w:t>2021年度一般公共预算财政拨款“三公”经费支出决算中，因公出国（境）费支出决算0.00万元，占0%；公务用车购置及运行维护费支出决算3.38万元，占90.62%；公务接待费支出决算0.35万元，占9.38%。具体情况如下：</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1.因公出国（境）费支出0.00万元。全年安排因公出国（境）团组0个，因公出国（境）0人次。</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因公出国（境）费支出决算比预算数增加（减少）0万元，增长（下降）0%。</w:t>
      </w:r>
    </w:p>
    <w:p>
      <w:pPr>
        <w:shd w:val="clear" w:color="auto" w:fill="FFFFFF"/>
        <w:spacing w:before="100" w:beforeAutospacing="1" w:after="100" w:afterAutospacing="1"/>
        <w:ind w:firstLine="480" w:firstLineChars="150"/>
        <w:rPr>
          <w:rFonts w:hint="eastAsia" w:ascii="仿宋_GB2312" w:hAnsi="ˎ̥" w:eastAsia="仿宋_GB2312"/>
          <w:sz w:val="32"/>
          <w:szCs w:val="32"/>
        </w:rPr>
      </w:pPr>
      <w:r>
        <w:rPr>
          <w:rFonts w:hint="eastAsia" w:ascii="仿宋_GB2312" w:hAnsi="ˎ̥" w:eastAsia="仿宋_GB2312"/>
          <w:sz w:val="32"/>
          <w:szCs w:val="32"/>
        </w:rPr>
        <w:t xml:space="preserve"> 2.公务用车购置及运行维护费支出3.38万元。其中：</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公务用车购置支出0.00万元，全年购置公务用车0辆，年末公务用车保有量4辆。</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公务用车运行维护费支出3.38万元，主要用于单位4辆车的保险费用；车辆的维修及保养费用；车辆全年的燃油费等。</w:t>
      </w:r>
    </w:p>
    <w:p>
      <w:pPr>
        <w:ind w:firstLine="640" w:firstLineChars="200"/>
        <w:rPr>
          <w:rFonts w:hint="eastAsia" w:ascii="仿宋_GB2312" w:hAnsi="ˎ̥" w:eastAsia="仿宋_GB2312"/>
          <w:bCs/>
          <w:sz w:val="32"/>
          <w:szCs w:val="32"/>
        </w:rPr>
      </w:pPr>
      <w:r>
        <w:rPr>
          <w:rFonts w:hint="eastAsia" w:ascii="仿宋_GB2312" w:hAnsi="ˎ̥" w:eastAsia="仿宋_GB2312"/>
          <w:sz w:val="32"/>
          <w:szCs w:val="32"/>
        </w:rPr>
        <w:t>公务用车购置及运行费支出决算数比预算数减少3.76万元，下降52.66%。主要原因：一是制定单位车辆用车管理制度，保证公车只能公用，并严格执行。二是爱护车辆，每一辆车责任到人，减少不必要的开支。</w:t>
      </w:r>
    </w:p>
    <w:p>
      <w:pPr>
        <w:ind w:firstLine="640" w:firstLineChars="200"/>
        <w:rPr>
          <w:rFonts w:hint="eastAsia" w:ascii="仿宋_GB2312" w:hAnsi="ˎ̥" w:eastAsia="仿宋_GB2312"/>
          <w:bCs/>
          <w:sz w:val="32"/>
          <w:szCs w:val="32"/>
        </w:rPr>
      </w:pPr>
      <w:r>
        <w:rPr>
          <w:rFonts w:hint="eastAsia" w:ascii="仿宋_GB2312" w:hAnsi="ˎ̥" w:eastAsia="仿宋_GB2312"/>
          <w:sz w:val="32"/>
          <w:szCs w:val="32"/>
        </w:rPr>
        <w:t xml:space="preserve"> 3.公务接待费支出0.35万元，其中：</w:t>
      </w:r>
    </w:p>
    <w:p>
      <w:pPr>
        <w:ind w:firstLine="640" w:firstLineChars="200"/>
        <w:rPr>
          <w:rFonts w:hint="eastAsia" w:ascii="仿宋_GB2312" w:hAnsi="ˎ̥" w:eastAsia="仿宋_GB2312"/>
          <w:bCs/>
          <w:sz w:val="32"/>
          <w:szCs w:val="32"/>
        </w:rPr>
      </w:pPr>
      <w:r>
        <w:rPr>
          <w:rFonts w:hint="eastAsia" w:ascii="仿宋_GB2312" w:hAnsi="ˎ̥" w:eastAsia="仿宋_GB2312"/>
          <w:sz w:val="32"/>
          <w:szCs w:val="32"/>
        </w:rPr>
        <w:t>国内接待费支出0.35万元，国内公务接待6批次，接待31人次；主要用于主要用于春秋防动物疫病防控检查工作组人员及兽药、饲料、畜产品抽样工作检查组人员工作用餐费用。</w:t>
      </w:r>
    </w:p>
    <w:p>
      <w:pPr>
        <w:ind w:firstLine="640" w:firstLineChars="200"/>
        <w:rPr>
          <w:rFonts w:hint="eastAsia" w:ascii="仿宋_GB2312" w:hAnsi="ˎ̥" w:eastAsia="仿宋_GB2312"/>
          <w:bCs/>
          <w:sz w:val="32"/>
          <w:szCs w:val="32"/>
        </w:rPr>
      </w:pPr>
      <w:r>
        <w:rPr>
          <w:rFonts w:hint="eastAsia" w:ascii="仿宋_GB2312" w:hAnsi="ˎ̥" w:eastAsia="仿宋_GB2312"/>
          <w:sz w:val="32"/>
          <w:szCs w:val="32"/>
        </w:rPr>
        <w:t>国（境）外接待费支出0万元，国（境）外公务接待0批次，接待0人次。</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公务接待费支出决算数比预算数减少0.45万元，下降56.25%。主要原因是主要原因是加强管理，严格接待标准，控制陪餐人员数量，减少不必要的开支。</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黑体" w:hAnsi="黑体" w:eastAsia="黑体" w:cs="黑体"/>
          <w:bCs/>
          <w:sz w:val="32"/>
          <w:szCs w:val="32"/>
        </w:rPr>
        <w:t>十、政府性基金预算财政拨款“三公”经费支出决算情况说明</w:t>
      </w:r>
    </w:p>
    <w:p>
      <w:pPr>
        <w:tabs>
          <w:tab w:val="center" w:pos="4473"/>
        </w:tabs>
        <w:ind w:firstLine="320" w:firstLineChars="100"/>
        <w:rPr>
          <w:rFonts w:hint="eastAsia" w:ascii="仿宋_GB2312" w:hAnsi="ˎ̥" w:eastAsia="仿宋_GB2312"/>
          <w:sz w:val="32"/>
          <w:szCs w:val="32"/>
        </w:rPr>
      </w:pPr>
      <w:r>
        <w:rPr>
          <w:rFonts w:hint="eastAsia" w:ascii="仿宋_GB2312" w:hAnsi="ˎ̥" w:eastAsia="仿宋_GB2312"/>
          <w:sz w:val="32"/>
          <w:szCs w:val="32"/>
        </w:rPr>
        <w:t>注：我单位没有此项经费，没有此项支出，特此说明。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十一、国有资本经营预算财政拨款“三公”经费支出决算情况说明</w:t>
      </w:r>
    </w:p>
    <w:p>
      <w:pPr>
        <w:tabs>
          <w:tab w:val="center" w:pos="4473"/>
        </w:tabs>
        <w:ind w:firstLine="320" w:firstLineChars="100"/>
        <w:rPr>
          <w:rFonts w:hint="eastAsia" w:ascii="仿宋_GB2312" w:hAnsi="ˎ̥" w:eastAsia="仿宋_GB2312"/>
          <w:sz w:val="32"/>
          <w:szCs w:val="32"/>
        </w:rPr>
      </w:pPr>
      <w:r>
        <w:rPr>
          <w:rFonts w:hint="eastAsia" w:ascii="仿宋_GB2312" w:hAnsi="ˎ̥" w:eastAsia="仿宋_GB2312"/>
          <w:sz w:val="32"/>
          <w:szCs w:val="32"/>
        </w:rPr>
        <w:t>注：我单位没有此项经费，没有此项支出，特此说明。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（一）绩效管理工作开展情况。</w:t>
      </w:r>
    </w:p>
    <w:p>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根据财政预算绩效管理要求，可按照如下格式说明：根据财政预算管理要求，我部门（单位）组织对2021年度一般公共预算项目支出全面开展绩效自评。自评项目5个，共涉及资金923.6万元，自评覆盖率达到100%。</w:t>
      </w:r>
    </w:p>
    <w:p>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共组织对“动物防疫等补助经费”、“</w:t>
      </w:r>
      <w:r>
        <w:rPr>
          <w:rFonts w:hint="eastAsia"/>
        </w:rPr>
        <w:t xml:space="preserve"> </w:t>
      </w:r>
      <w:r>
        <w:rPr>
          <w:rFonts w:hint="eastAsia" w:ascii="仿宋_GB2312" w:eastAsia="仿宋_GB2312"/>
          <w:sz w:val="32"/>
          <w:szCs w:val="32"/>
        </w:rPr>
        <w:t>乡村振兴及百镇千村专项资金”、“</w:t>
      </w:r>
      <w:r>
        <w:rPr>
          <w:rFonts w:hint="eastAsia"/>
        </w:rPr>
        <w:t xml:space="preserve"> </w:t>
      </w:r>
      <w:r>
        <w:rPr>
          <w:rFonts w:hint="eastAsia" w:ascii="仿宋_GB2312" w:eastAsia="仿宋_GB2312"/>
          <w:sz w:val="32"/>
          <w:szCs w:val="32"/>
        </w:rPr>
        <w:t>动物疫病防控经费”、“</w:t>
      </w:r>
      <w:r>
        <w:rPr>
          <w:rFonts w:hint="eastAsia"/>
        </w:rPr>
        <w:t xml:space="preserve"> </w:t>
      </w:r>
      <w:r>
        <w:rPr>
          <w:rFonts w:hint="eastAsia" w:ascii="仿宋_GB2312" w:eastAsia="仿宋_GB2312"/>
          <w:sz w:val="32"/>
          <w:szCs w:val="32"/>
        </w:rPr>
        <w:t>农产品质量安全监管”、“</w:t>
      </w:r>
      <w:r>
        <w:rPr>
          <w:rFonts w:hint="eastAsia"/>
        </w:rPr>
        <w:t xml:space="preserve"> </w:t>
      </w:r>
      <w:r>
        <w:rPr>
          <w:rFonts w:hint="eastAsia" w:ascii="仿宋_GB2312" w:eastAsia="仿宋_GB2312"/>
          <w:sz w:val="32"/>
          <w:szCs w:val="32"/>
        </w:rPr>
        <w:t>事业运行”等5个项目开展了部门评价，涉及资金923.6万元。从评价情况来看:1、“动物防疫等补助经费” 项目完成状况良好，</w:t>
      </w:r>
      <w:r>
        <w:rPr>
          <w:rFonts w:hint="eastAsia" w:ascii="Times New Roman"/>
          <w:sz w:val="30"/>
          <w:szCs w:val="30"/>
        </w:rPr>
        <w:t>一是促进了畜牧业持续健康发展。强化了口蹄疫、高致病性禽流感等疫病的预防工作，确保海南省没有发生区域性重大动物疫情，保证了养殖业的健康稳定发展。二是降低了动物疫病发病率。控制了重大动物疫病，降低了人畜共患病的发病率，保障了人民群众身体健康和公共卫生安全。2、</w:t>
      </w:r>
      <w:r>
        <w:rPr>
          <w:rFonts w:hint="eastAsia" w:ascii="仿宋_GB2312" w:eastAsia="仿宋_GB2312"/>
          <w:sz w:val="32"/>
          <w:szCs w:val="32"/>
        </w:rPr>
        <w:t>“</w:t>
      </w:r>
      <w:r>
        <w:rPr>
          <w:rFonts w:hint="eastAsia"/>
        </w:rPr>
        <w:t xml:space="preserve"> </w:t>
      </w:r>
      <w:r>
        <w:rPr>
          <w:rFonts w:hint="eastAsia" w:ascii="仿宋_GB2312" w:eastAsia="仿宋_GB2312"/>
          <w:sz w:val="32"/>
          <w:szCs w:val="32"/>
        </w:rPr>
        <w:t>乡村振兴及百镇千村专项资金” 项目完成状况良好，</w:t>
      </w:r>
      <w:r>
        <w:rPr>
          <w:rFonts w:ascii="Times New Roman"/>
          <w:sz w:val="30"/>
          <w:szCs w:val="30"/>
        </w:rPr>
        <w:t>增强了海南省动物疫情预警预报能力，提高了动物疫病防控水平，具有重大的社会效益。项目的有效实施，降低动物的发病率，</w:t>
      </w:r>
      <w:r>
        <w:rPr>
          <w:rFonts w:hint="eastAsia" w:ascii="Times New Roman"/>
          <w:sz w:val="30"/>
          <w:szCs w:val="30"/>
        </w:rPr>
        <w:t>补充了各市县防疫物资不足的短板</w:t>
      </w:r>
      <w:r>
        <w:rPr>
          <w:rFonts w:ascii="Times New Roman"/>
          <w:sz w:val="30"/>
          <w:szCs w:val="30"/>
        </w:rPr>
        <w:t>，产生巨大的经济效益。同时</w:t>
      </w:r>
      <w:r>
        <w:rPr>
          <w:rFonts w:hint="eastAsia" w:ascii="Times New Roman"/>
          <w:sz w:val="30"/>
          <w:szCs w:val="30"/>
        </w:rPr>
        <w:t>维护海南无疫区品牌</w:t>
      </w:r>
      <w:r>
        <w:rPr>
          <w:rFonts w:ascii="Times New Roman"/>
          <w:sz w:val="30"/>
          <w:szCs w:val="30"/>
        </w:rPr>
        <w:t>，促进畜牧业的可持续发展。</w:t>
      </w:r>
      <w:r>
        <w:rPr>
          <w:rFonts w:hint="eastAsia" w:ascii="Times New Roman"/>
          <w:sz w:val="30"/>
          <w:szCs w:val="30"/>
        </w:rPr>
        <w:t>3、</w:t>
      </w:r>
      <w:r>
        <w:rPr>
          <w:rFonts w:hint="eastAsia" w:ascii="仿宋_GB2312" w:eastAsia="仿宋_GB2312"/>
          <w:sz w:val="32"/>
          <w:szCs w:val="32"/>
        </w:rPr>
        <w:t>“</w:t>
      </w:r>
      <w:r>
        <w:rPr>
          <w:rFonts w:hint="eastAsia"/>
        </w:rPr>
        <w:t xml:space="preserve"> </w:t>
      </w:r>
      <w:r>
        <w:rPr>
          <w:rFonts w:hint="eastAsia" w:ascii="仿宋_GB2312" w:eastAsia="仿宋_GB2312"/>
          <w:sz w:val="32"/>
          <w:szCs w:val="32"/>
        </w:rPr>
        <w:t>动物疫病防控经费”</w:t>
      </w:r>
      <w:r>
        <w:rPr>
          <w:rFonts w:hint="eastAsia" w:ascii="仿宋" w:hAnsi="仿宋" w:eastAsia="仿宋" w:cs="仿宋_GB2312"/>
          <w:szCs w:val="32"/>
        </w:rPr>
        <w:t xml:space="preserve"> </w:t>
      </w:r>
      <w:r>
        <w:rPr>
          <w:rFonts w:hint="eastAsia" w:ascii="Times New Roman"/>
          <w:sz w:val="30"/>
          <w:szCs w:val="30"/>
        </w:rPr>
        <w:t>项目完成状况良好，综合评价为优。通过开展本项目加强动物疫病监测与流行病学调查，科学评估动物免疫效果，为保障我省兽医公共卫生安全，促进畜牧业生产健康发展，维护“无疫区”、“健康岛”品牌，均具有重要作用。4、</w:t>
      </w:r>
      <w:r>
        <w:rPr>
          <w:rFonts w:hint="eastAsia" w:ascii="仿宋_GB2312" w:eastAsia="仿宋_GB2312"/>
          <w:sz w:val="32"/>
          <w:szCs w:val="32"/>
        </w:rPr>
        <w:t>“</w:t>
      </w:r>
      <w:r>
        <w:rPr>
          <w:rFonts w:hint="eastAsia"/>
        </w:rPr>
        <w:t xml:space="preserve"> </w:t>
      </w:r>
      <w:r>
        <w:rPr>
          <w:rFonts w:hint="eastAsia" w:ascii="仿宋_GB2312" w:eastAsia="仿宋_GB2312"/>
          <w:sz w:val="32"/>
          <w:szCs w:val="32"/>
        </w:rPr>
        <w:t>农产品质量安全监管”</w:t>
      </w:r>
      <w:r>
        <w:rPr>
          <w:rFonts w:hint="eastAsia"/>
          <w:color w:val="000000"/>
          <w:sz w:val="30"/>
          <w:szCs w:val="30"/>
        </w:rPr>
        <w:t xml:space="preserve"> 项目完成状况良好，综合评价为优。通过开展本项目兽药、饲料与畜产品质量安全监测，对质量安全隐患加强了监测与排查，为行业质量安全监管和预警提供科学依据，加强了生产、经营、使用假劣兽药饲料打击力度，进一步健全了我省监管机制和提高了监管能力，有效促进了企业自律和产品质量提高，为确保我省动物源性食品安全卫生，保障人民身体健康，促进畜牧业生产健康发展，维护“无疫区”品牌，建立和谐社会等方面，均具有重要作用。5、</w:t>
      </w:r>
      <w:r>
        <w:rPr>
          <w:rFonts w:hint="eastAsia" w:ascii="仿宋_GB2312" w:eastAsia="仿宋_GB2312"/>
          <w:sz w:val="32"/>
          <w:szCs w:val="32"/>
        </w:rPr>
        <w:t>“</w:t>
      </w:r>
      <w:r>
        <w:rPr>
          <w:rFonts w:hint="eastAsia"/>
        </w:rPr>
        <w:t xml:space="preserve"> </w:t>
      </w:r>
      <w:r>
        <w:rPr>
          <w:rFonts w:hint="eastAsia" w:ascii="仿宋_GB2312" w:eastAsia="仿宋_GB2312"/>
          <w:sz w:val="32"/>
          <w:szCs w:val="32"/>
        </w:rPr>
        <w:t>事业运行”</w:t>
      </w:r>
      <w:r>
        <w:rPr>
          <w:rFonts w:hint="eastAsia" w:hAnsi="仿宋_GB2312" w:cs="仿宋_GB2312"/>
          <w:szCs w:val="32"/>
        </w:rPr>
        <w:t xml:space="preserve"> </w:t>
      </w:r>
      <w:r>
        <w:rPr>
          <w:rFonts w:hint="eastAsia"/>
          <w:color w:val="000000"/>
          <w:sz w:val="30"/>
          <w:szCs w:val="30"/>
        </w:rPr>
        <w:t>项目完成状况良好，综合评价为优。对中心业务室、实验室等设施设备进行了有效的维修维护工作，保障了中心各项工作顺利开展。</w:t>
      </w:r>
    </w:p>
    <w:p>
      <w:pPr>
        <w:ind w:firstLine="640" w:firstLineChars="200"/>
        <w:rPr>
          <w:rFonts w:ascii="仿宋_GB2312" w:eastAsia="仿宋_GB2312"/>
          <w:sz w:val="32"/>
          <w:szCs w:val="32"/>
        </w:rPr>
      </w:pPr>
      <w:r>
        <w:rPr>
          <w:rFonts w:hint="eastAsia" w:ascii="仿宋_GB2312" w:eastAsia="仿宋_GB2312"/>
          <w:sz w:val="32"/>
          <w:szCs w:val="32"/>
        </w:rPr>
        <w:t>开展整体支出绩效评价，涉及资金923.6万元。从评价情况来看：海南省动物疫病预防控制中心建立了较为完善的项目支出绩效评价机制：一是每年对部门预算项目做好可行性分析，明确项目重点任务和绩效目标并及时申报项目申报材料，在项目实施过程中，认真执行项目预算支出，积极跟踪项目进展，加快预算项目执行力度。二是项目完成后，及时总结项目实施情况，重点对项目进行绩效分析，查找存在问题并整改，确保预算项目执行质量，强化财政资金使用效益。三是做好项目材料归档工作，存放在专门档案管理室。</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（二）部门决算中项目绩效自评结果。</w:t>
      </w:r>
    </w:p>
    <w:p>
      <w:pPr>
        <w:shd w:val="clear" w:color="auto" w:fill="FFFFFF"/>
        <w:spacing w:before="100" w:beforeAutospacing="1" w:after="100" w:afterAutospacing="1"/>
        <w:ind w:firstLine="640" w:firstLineChars="200"/>
        <w:rPr>
          <w:rFonts w:hint="eastAsia" w:ascii="仿宋_GB2312" w:eastAsia="仿宋_GB2312"/>
          <w:sz w:val="32"/>
          <w:szCs w:val="32"/>
        </w:rPr>
      </w:pPr>
      <w:r>
        <w:rPr>
          <w:rFonts w:hint="eastAsia" w:ascii="仿宋_GB2312" w:eastAsia="仿宋_GB2312"/>
          <w:sz w:val="32"/>
          <w:szCs w:val="32"/>
        </w:rPr>
        <w:t>我单位今年在省本级部门决算中反映“动物防疫等补助经费”、“</w:t>
      </w:r>
      <w:r>
        <w:rPr>
          <w:rFonts w:hint="eastAsia"/>
        </w:rPr>
        <w:t xml:space="preserve"> </w:t>
      </w:r>
      <w:r>
        <w:rPr>
          <w:rFonts w:hint="eastAsia" w:ascii="仿宋_GB2312" w:eastAsia="仿宋_GB2312"/>
          <w:sz w:val="32"/>
          <w:szCs w:val="32"/>
        </w:rPr>
        <w:t>乡村振兴及百镇千村专项资金”、“</w:t>
      </w:r>
      <w:r>
        <w:rPr>
          <w:rFonts w:hint="eastAsia"/>
        </w:rPr>
        <w:t xml:space="preserve"> </w:t>
      </w:r>
      <w:r>
        <w:rPr>
          <w:rFonts w:hint="eastAsia" w:ascii="仿宋_GB2312" w:eastAsia="仿宋_GB2312"/>
          <w:sz w:val="32"/>
          <w:szCs w:val="32"/>
        </w:rPr>
        <w:t>动物疫病防控经费”、“</w:t>
      </w:r>
      <w:r>
        <w:rPr>
          <w:rFonts w:hint="eastAsia"/>
        </w:rPr>
        <w:t xml:space="preserve"> </w:t>
      </w:r>
      <w:r>
        <w:rPr>
          <w:rFonts w:hint="eastAsia" w:ascii="仿宋_GB2312" w:eastAsia="仿宋_GB2312"/>
          <w:sz w:val="32"/>
          <w:szCs w:val="32"/>
        </w:rPr>
        <w:t>农产品质量安全监管”项目绩效自评结果。</w:t>
      </w:r>
    </w:p>
    <w:p>
      <w:pPr>
        <w:ind w:firstLine="643" w:firstLineChars="200"/>
        <w:rPr>
          <w:rFonts w:hint="eastAsia" w:ascii="仿宋_GB2312" w:eastAsia="仿宋_GB2312"/>
          <w:b/>
          <w:sz w:val="32"/>
          <w:szCs w:val="32"/>
        </w:rPr>
      </w:pPr>
      <w:r>
        <w:rPr>
          <w:rFonts w:hint="eastAsia" w:ascii="仿宋_GB2312" w:eastAsia="仿宋_GB2312"/>
          <w:b/>
          <w:sz w:val="32"/>
          <w:szCs w:val="32"/>
        </w:rPr>
        <w:t>重点项目的绩效评价结果情况</w:t>
      </w:r>
    </w:p>
    <w:p>
      <w:pPr>
        <w:shd w:val="clear" w:color="auto" w:fill="FFFFFF"/>
        <w:spacing w:before="100" w:beforeAutospacing="1" w:after="100" w:afterAutospacing="1"/>
        <w:ind w:firstLine="640" w:firstLineChars="200"/>
        <w:rPr>
          <w:rFonts w:ascii="仿宋_GB2312" w:eastAsia="仿宋_GB2312"/>
          <w:sz w:val="32"/>
          <w:szCs w:val="32"/>
        </w:rPr>
      </w:pPr>
    </w:p>
    <w:p>
      <w:pPr>
        <w:shd w:val="clear" w:color="auto" w:fill="FFFFFF"/>
        <w:spacing w:before="100" w:beforeAutospacing="1" w:after="100" w:afterAutospacing="1"/>
        <w:ind w:firstLine="640" w:firstLineChars="200"/>
        <w:rPr>
          <w:rFonts w:ascii="仿宋_GB2312" w:eastAsia="仿宋_GB2312"/>
          <w:sz w:val="32"/>
          <w:szCs w:val="32"/>
        </w:rPr>
      </w:pPr>
      <w:r>
        <w:rPr>
          <w:rFonts w:hint="eastAsia" w:ascii="仿宋_GB2312" w:eastAsia="仿宋_GB2312"/>
          <w:sz w:val="32"/>
          <w:szCs w:val="32"/>
        </w:rPr>
        <w:t>动物防疫等补助经费项目绩效自评综述：根据年初设定的绩效目标，项目自评得分为95分。全年预算数为376万元，执行数为376万元，完成预算的100%。项目绩效目标完成情况：一是</w:t>
      </w:r>
      <w:r>
        <w:rPr>
          <w:rFonts w:hint="eastAsia" w:ascii="Times New Roman"/>
          <w:sz w:val="30"/>
          <w:szCs w:val="30"/>
        </w:rPr>
        <w:t>重大动物疫病疫苗采购：2021年强制免疫疫苗经费326万元，已全部采购完毕，其中重组禽流感（H5+H7）三价灭活疫苗153万元（510万毫升），猪口蹄疫Ｏ型、A型二价疫苗120万元（100万毫升），牛羊口蹄疫Ｏ型、A型二价疫苗53万元（53万毫升），应免率达90％以上，平均抗体合格率常年保持在70%以上，较好地完成了各项目标任务</w:t>
      </w:r>
      <w:r>
        <w:rPr>
          <w:rFonts w:hint="eastAsia" w:ascii="仿宋_GB2312" w:eastAsia="仿宋_GB2312"/>
          <w:sz w:val="32"/>
          <w:szCs w:val="32"/>
        </w:rPr>
        <w:t>；二是</w:t>
      </w:r>
      <w:r>
        <w:rPr>
          <w:rFonts w:hint="eastAsia" w:ascii="Times New Roman"/>
          <w:sz w:val="30"/>
          <w:szCs w:val="30"/>
        </w:rPr>
        <w:t>“先打后补”资金：</w:t>
      </w:r>
      <w:r>
        <w:rPr>
          <w:rFonts w:ascii="Times New Roman"/>
          <w:sz w:val="30"/>
          <w:szCs w:val="30"/>
        </w:rPr>
        <w:t>疫苗“先打后补”经费共50万元，全省共4家企业申报，合计补贴50万元，完成了各项目标任务</w:t>
      </w:r>
      <w:r>
        <w:rPr>
          <w:rFonts w:hint="eastAsia" w:ascii="仿宋_GB2312" w:eastAsia="仿宋_GB2312"/>
          <w:sz w:val="32"/>
          <w:szCs w:val="32"/>
        </w:rPr>
        <w:t>。发现的主要问题及原因：一是</w:t>
      </w:r>
      <w:r>
        <w:rPr>
          <w:rFonts w:hint="eastAsia"/>
          <w:sz w:val="30"/>
          <w:szCs w:val="30"/>
        </w:rPr>
        <w:t>自购疫苗补贴按照疫苗招标单价进行补贴，补贴金额少，养殖户缺乏申补积极性</w:t>
      </w:r>
      <w:r>
        <w:rPr>
          <w:rFonts w:hint="eastAsia" w:ascii="仿宋_GB2312" w:eastAsia="仿宋_GB2312"/>
          <w:sz w:val="32"/>
          <w:szCs w:val="32"/>
        </w:rPr>
        <w:t>；二是</w:t>
      </w:r>
      <w:r>
        <w:rPr>
          <w:rFonts w:hint="eastAsia"/>
          <w:sz w:val="30"/>
          <w:szCs w:val="30"/>
        </w:rPr>
        <w:t>废弃疫苗或疫苗空瓶无害化处理难，海南只有一家企业有资格进行无害化处理，不愿意接收处理</w:t>
      </w:r>
      <w:r>
        <w:rPr>
          <w:rFonts w:hint="eastAsia" w:ascii="仿宋_GB2312" w:eastAsia="仿宋_GB2312"/>
          <w:sz w:val="32"/>
          <w:szCs w:val="32"/>
        </w:rPr>
        <w:t>。下一步改进措施：一是</w:t>
      </w:r>
      <w:r>
        <w:rPr>
          <w:rFonts w:ascii="仿宋_GB2312" w:eastAsia="仿宋_GB2312"/>
          <w:sz w:val="32"/>
          <w:szCs w:val="32"/>
        </w:rPr>
        <w:t>加强领导，增加经费投入，落实责任，使每项工作都能够得到有效落实</w:t>
      </w:r>
      <w:r>
        <w:rPr>
          <w:rFonts w:hint="eastAsia" w:ascii="仿宋_GB2312" w:eastAsia="仿宋_GB2312"/>
          <w:sz w:val="32"/>
          <w:szCs w:val="32"/>
        </w:rPr>
        <w:t>；二是</w:t>
      </w:r>
      <w:r>
        <w:rPr>
          <w:rFonts w:hint="eastAsia"/>
          <w:sz w:val="30"/>
          <w:szCs w:val="30"/>
        </w:rPr>
        <w:t>建议提高补贴标准，出台政府补贴政策扶持相关产业。</w:t>
      </w:r>
    </w:p>
    <w:p>
      <w:pPr>
        <w:shd w:val="clear" w:color="auto" w:fill="FFFFFF"/>
        <w:spacing w:before="100" w:beforeAutospacing="1" w:after="100" w:afterAutospacing="1"/>
        <w:ind w:firstLine="640" w:firstLineChars="200"/>
        <w:rPr>
          <w:rFonts w:ascii="仿宋_GB2312" w:eastAsia="仿宋_GB2312"/>
          <w:sz w:val="32"/>
          <w:szCs w:val="32"/>
        </w:rPr>
      </w:pPr>
      <w:r>
        <w:rPr>
          <w:rFonts w:hint="eastAsia" w:ascii="仿宋_GB2312" w:eastAsia="仿宋_GB2312"/>
          <w:sz w:val="32"/>
          <w:szCs w:val="32"/>
        </w:rPr>
        <w:t>乡村振兴及百镇千村专项资金项目绩效自评综述：根据年初设定的绩效目标，项目自评得分为95分。全年预算数为175万元，执行数为175万元，完成预算的100%。项目绩效目标完成情况：一是</w:t>
      </w:r>
      <w:r>
        <w:rPr>
          <w:rFonts w:hint="eastAsia" w:ascii="Times New Roman"/>
          <w:sz w:val="30"/>
          <w:szCs w:val="30"/>
        </w:rPr>
        <w:t>购买实验室检测试剂耗材54.34万元：（1）购买一批全省秋防交叉检查样品检测试剂耗材8.90万元，采购一批非洲猪瘟检测试剂32万元。（2）普通试剂耗材及抽样样品2.04万元，waters专用耗材3.36万元，制水机专用耗材2.09万元，实验对照品2.20万元元。安捷伦专用耗材1.77万元，实验服0.57万元元,抽样工具1.41万元；二是防疫应急物资采购109万元：戊二醛葵甲溴铵溶液36万元（30吨）、二氯异氰脲酸钠粉20万元（16吨）、过硫酸氢钾复合粉31.5万元（11.25吨），一次医用性防护服10万元（4000件）、一次性医用手套4.5万元（10万只）、一次性医用口罩3万元（6万个）、尸体袋4万元（0.5万个）；三是全省执业兽医考试考务工作11.66万元：购买第三方考务服务10.15万元，购买考试考场对讲机、金属探测仪、遮阳蓬、交换机、路由器和印制工作手册、工作牌、宣传条幅等费用1.15万元，购买防疫用品等其他开支0.36万元。</w:t>
      </w:r>
      <w:r>
        <w:rPr>
          <w:rFonts w:ascii="Times New Roman"/>
          <w:sz w:val="30"/>
          <w:szCs w:val="30"/>
        </w:rPr>
        <w:t>主要经验及做法、存在的问题和建议</w:t>
      </w:r>
      <w:r>
        <w:rPr>
          <w:rFonts w:hint="eastAsia" w:ascii="Times New Roman"/>
          <w:sz w:val="30"/>
          <w:szCs w:val="30"/>
        </w:rPr>
        <w:t>：一、</w:t>
      </w:r>
      <w:r>
        <w:rPr>
          <w:rFonts w:ascii="Times New Roman"/>
          <w:sz w:val="30"/>
          <w:szCs w:val="30"/>
        </w:rPr>
        <w:t>主要经验及做法</w:t>
      </w:r>
      <w:r>
        <w:rPr>
          <w:rFonts w:hint="eastAsia" w:ascii="Times New Roman"/>
          <w:sz w:val="30"/>
          <w:szCs w:val="30"/>
        </w:rPr>
        <w:t>：</w:t>
      </w:r>
      <w:r>
        <w:rPr>
          <w:rFonts w:ascii="Times New Roman"/>
          <w:sz w:val="30"/>
          <w:szCs w:val="30"/>
        </w:rPr>
        <w:t>中心领导高度重视该项工作，成立工作组，召开工作会议，全面</w:t>
      </w:r>
      <w:r>
        <w:rPr>
          <w:rFonts w:hint="eastAsia" w:ascii="Times New Roman"/>
          <w:sz w:val="30"/>
          <w:szCs w:val="30"/>
        </w:rPr>
        <w:t>部署</w:t>
      </w:r>
      <w:r>
        <w:rPr>
          <w:rFonts w:ascii="Times New Roman"/>
          <w:sz w:val="30"/>
          <w:szCs w:val="30"/>
        </w:rPr>
        <w:t>各项工作，并将各项任务分解到人。各部门按照农业</w:t>
      </w:r>
      <w:r>
        <w:rPr>
          <w:rFonts w:hint="eastAsia" w:ascii="Times New Roman"/>
          <w:sz w:val="30"/>
          <w:szCs w:val="30"/>
        </w:rPr>
        <w:t>农村</w:t>
      </w:r>
      <w:r>
        <w:rPr>
          <w:rFonts w:ascii="Times New Roman"/>
          <w:sz w:val="30"/>
          <w:szCs w:val="30"/>
        </w:rPr>
        <w:t>部工作部署、海南省农业</w:t>
      </w:r>
      <w:r>
        <w:rPr>
          <w:rFonts w:hint="eastAsia" w:ascii="Times New Roman"/>
          <w:sz w:val="30"/>
          <w:szCs w:val="30"/>
        </w:rPr>
        <w:t>农村</w:t>
      </w:r>
      <w:r>
        <w:rPr>
          <w:rFonts w:ascii="Times New Roman"/>
          <w:sz w:val="30"/>
          <w:szCs w:val="30"/>
        </w:rPr>
        <w:t>厅相关文件的具体要求及中心的工作安排，及时制定实施方案</w:t>
      </w:r>
      <w:r>
        <w:rPr>
          <w:rFonts w:hint="eastAsia" w:ascii="Times New Roman"/>
          <w:sz w:val="30"/>
          <w:szCs w:val="30"/>
        </w:rPr>
        <w:t>，</w:t>
      </w:r>
      <w:r>
        <w:rPr>
          <w:rFonts w:ascii="Times New Roman"/>
          <w:sz w:val="30"/>
          <w:szCs w:val="30"/>
        </w:rPr>
        <w:t>跟进工作进度，针对出现的问题，及时组织人员讨论研究，找出问题症结所在，并提出解决方案，保障了工作顺利进行，确保了全省动物疫病防控工作的顺利开展</w:t>
      </w:r>
      <w:r>
        <w:rPr>
          <w:rFonts w:hint="eastAsia" w:ascii="Times New Roman"/>
          <w:sz w:val="30"/>
          <w:szCs w:val="30"/>
        </w:rPr>
        <w:t>；</w:t>
      </w:r>
      <w:r>
        <w:rPr>
          <w:rFonts w:ascii="Times New Roman"/>
          <w:sz w:val="30"/>
          <w:szCs w:val="30"/>
        </w:rPr>
        <w:t>二</w:t>
      </w:r>
      <w:r>
        <w:rPr>
          <w:rFonts w:hint="eastAsia" w:ascii="Times New Roman"/>
          <w:sz w:val="30"/>
          <w:szCs w:val="30"/>
        </w:rPr>
        <w:t>、</w:t>
      </w:r>
      <w:r>
        <w:rPr>
          <w:rFonts w:ascii="Times New Roman"/>
          <w:sz w:val="30"/>
          <w:szCs w:val="30"/>
        </w:rPr>
        <w:t>存在问题</w:t>
      </w:r>
      <w:r>
        <w:rPr>
          <w:rFonts w:hint="eastAsia" w:ascii="Times New Roman"/>
          <w:sz w:val="30"/>
          <w:szCs w:val="30"/>
        </w:rPr>
        <w:t>：</w:t>
      </w:r>
      <w:r>
        <w:rPr>
          <w:rFonts w:hint="eastAsia"/>
          <w:sz w:val="30"/>
          <w:szCs w:val="30"/>
        </w:rPr>
        <w:t>资金下达不及时</w:t>
      </w:r>
      <w:r>
        <w:rPr>
          <w:rFonts w:hint="eastAsia"/>
          <w:bCs/>
          <w:kern w:val="36"/>
          <w:sz w:val="30"/>
          <w:szCs w:val="30"/>
        </w:rPr>
        <w:t>；</w:t>
      </w:r>
      <w:r>
        <w:rPr>
          <w:rFonts w:ascii="Times New Roman"/>
          <w:sz w:val="30"/>
          <w:szCs w:val="30"/>
        </w:rPr>
        <w:t>三</w:t>
      </w:r>
      <w:r>
        <w:rPr>
          <w:rFonts w:hint="eastAsia" w:ascii="Times New Roman"/>
          <w:sz w:val="30"/>
          <w:szCs w:val="30"/>
        </w:rPr>
        <w:t>、</w:t>
      </w:r>
      <w:r>
        <w:rPr>
          <w:rFonts w:ascii="Times New Roman"/>
          <w:sz w:val="30"/>
          <w:szCs w:val="30"/>
        </w:rPr>
        <w:t>下一步工作安排及建议</w:t>
      </w:r>
      <w:r>
        <w:rPr>
          <w:rFonts w:hint="eastAsia" w:ascii="Times New Roman"/>
          <w:sz w:val="30"/>
          <w:szCs w:val="30"/>
        </w:rPr>
        <w:t>：</w:t>
      </w:r>
      <w:r>
        <w:rPr>
          <w:rFonts w:hint="eastAsia"/>
          <w:sz w:val="30"/>
          <w:szCs w:val="30"/>
        </w:rPr>
        <w:t>提前谋划，争取在年前下达项目资金。</w:t>
      </w:r>
    </w:p>
    <w:p>
      <w:pPr>
        <w:spacing w:line="590" w:lineRule="exact"/>
        <w:ind w:firstLine="640" w:firstLineChars="200"/>
        <w:rPr>
          <w:rFonts w:ascii="仿宋_GB2312" w:eastAsia="仿宋_GB2312"/>
          <w:sz w:val="32"/>
          <w:szCs w:val="32"/>
        </w:rPr>
      </w:pPr>
      <w:r>
        <w:rPr>
          <w:rFonts w:hint="eastAsia" w:ascii="仿宋_GB2312" w:eastAsia="仿宋_GB2312"/>
          <w:sz w:val="32"/>
          <w:szCs w:val="32"/>
        </w:rPr>
        <w:t>动物疫病防控经费项目绩效自评综述：根据年初设定的绩效目标，项目自评得分为97分。全年预算数为311.6万元，执行数为311.26万元，完成预算的99.89%。项目绩效目标完成情况：一是项目组织情况分析：</w:t>
      </w:r>
      <w:r>
        <w:rPr>
          <w:rFonts w:ascii="仿宋_GB2312" w:eastAsia="仿宋_GB2312"/>
          <w:sz w:val="32"/>
          <w:szCs w:val="32"/>
        </w:rPr>
        <w:t>1.</w:t>
      </w:r>
      <w:r>
        <w:rPr>
          <w:rFonts w:hint="eastAsia" w:ascii="仿宋_GB2312" w:eastAsia="仿宋_GB2312"/>
          <w:sz w:val="32"/>
          <w:szCs w:val="32"/>
        </w:rPr>
        <w:t>省外引入动物及动物产品动物疫病监测，保障人员、车辆、仪器、试剂投入，全年根据实际引入动物及动物产品的情况开展随机监测，共监测引入动物及动物产品</w:t>
      </w:r>
      <w:r>
        <w:rPr>
          <w:rFonts w:ascii="仿宋_GB2312" w:eastAsia="仿宋_GB2312"/>
          <w:sz w:val="32"/>
          <w:szCs w:val="32"/>
        </w:rPr>
        <w:t>1277</w:t>
      </w:r>
      <w:r>
        <w:rPr>
          <w:rFonts w:hint="eastAsia" w:ascii="仿宋_GB2312" w:eastAsia="仿宋_GB2312"/>
          <w:sz w:val="32"/>
          <w:szCs w:val="32"/>
        </w:rPr>
        <w:t>车次，完成</w:t>
      </w:r>
      <w:r>
        <w:rPr>
          <w:rFonts w:ascii="仿宋_GB2312" w:eastAsia="仿宋_GB2312"/>
          <w:sz w:val="32"/>
          <w:szCs w:val="32"/>
        </w:rPr>
        <w:t>100%</w:t>
      </w:r>
      <w:r>
        <w:rPr>
          <w:rFonts w:hint="eastAsia" w:ascii="仿宋_GB2312" w:eastAsia="仿宋_GB2312"/>
          <w:sz w:val="32"/>
          <w:szCs w:val="32"/>
        </w:rPr>
        <w:t>。</w:t>
      </w:r>
    </w:p>
    <w:p>
      <w:pPr>
        <w:spacing w:line="590" w:lineRule="exact"/>
        <w:outlineLvl w:val="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高致病性禽流感、口蹄疫等重大动物疫病病原学和抗体的检测，根据农业农村部和省农业农村厅春秋两季的重大动物疫病的防控安排，分上下半年进行抽样检测，共检测病原学样品</w:t>
      </w:r>
      <w:r>
        <w:rPr>
          <w:rFonts w:ascii="仿宋_GB2312" w:eastAsia="仿宋_GB2312"/>
          <w:sz w:val="32"/>
          <w:szCs w:val="32"/>
        </w:rPr>
        <w:t>32095</w:t>
      </w:r>
      <w:r>
        <w:rPr>
          <w:rFonts w:hint="eastAsia" w:ascii="仿宋_GB2312" w:eastAsia="仿宋_GB2312"/>
          <w:sz w:val="32"/>
          <w:szCs w:val="32"/>
        </w:rPr>
        <w:t>份，血清学</w:t>
      </w:r>
      <w:r>
        <w:rPr>
          <w:rFonts w:ascii="仿宋_GB2312" w:eastAsia="仿宋_GB2312"/>
          <w:sz w:val="32"/>
          <w:szCs w:val="32"/>
        </w:rPr>
        <w:t>27961</w:t>
      </w:r>
      <w:r>
        <w:rPr>
          <w:rFonts w:hint="eastAsia" w:ascii="仿宋_GB2312" w:eastAsia="仿宋_GB2312"/>
          <w:sz w:val="32"/>
          <w:szCs w:val="32"/>
        </w:rPr>
        <w:t>份，完成全年任务</w:t>
      </w:r>
      <w:r>
        <w:rPr>
          <w:rFonts w:ascii="仿宋_GB2312" w:eastAsia="仿宋_GB2312"/>
          <w:sz w:val="32"/>
          <w:szCs w:val="32"/>
        </w:rPr>
        <w:t>100%</w:t>
      </w:r>
      <w:r>
        <w:rPr>
          <w:rFonts w:hint="eastAsia" w:ascii="仿宋_GB2312" w:eastAsia="仿宋_GB2312"/>
          <w:sz w:val="32"/>
          <w:szCs w:val="32"/>
        </w:rPr>
        <w:t>。3.完成采购消毒药12吨，一次性医用防护服1300套，口罩5400个，防护眼镜100个。4.完成采购猪耳标</w:t>
      </w:r>
      <w:r>
        <w:rPr>
          <w:rFonts w:ascii="仿宋_GB2312" w:eastAsia="仿宋_GB2312"/>
          <w:sz w:val="32"/>
          <w:szCs w:val="32"/>
        </w:rPr>
        <w:t>410</w:t>
      </w:r>
      <w:r>
        <w:rPr>
          <w:rFonts w:hint="eastAsia" w:ascii="仿宋_GB2312" w:eastAsia="仿宋_GB2312"/>
          <w:sz w:val="32"/>
          <w:szCs w:val="32"/>
        </w:rPr>
        <w:t>.</w:t>
      </w:r>
      <w:r>
        <w:rPr>
          <w:rFonts w:ascii="仿宋_GB2312" w:eastAsia="仿宋_GB2312"/>
          <w:sz w:val="32"/>
          <w:szCs w:val="32"/>
        </w:rPr>
        <w:t>6528</w:t>
      </w:r>
      <w:r>
        <w:rPr>
          <w:rFonts w:hint="eastAsia" w:ascii="仿宋_GB2312" w:eastAsia="仿宋_GB2312"/>
          <w:sz w:val="32"/>
          <w:szCs w:val="32"/>
        </w:rPr>
        <w:t>万</w:t>
      </w:r>
      <w:r>
        <w:rPr>
          <w:rFonts w:ascii="仿宋_GB2312" w:eastAsia="仿宋_GB2312"/>
          <w:sz w:val="32"/>
          <w:szCs w:val="32"/>
        </w:rPr>
        <w:t>套、牛耳标34</w:t>
      </w:r>
      <w:r>
        <w:rPr>
          <w:rFonts w:hint="eastAsia" w:ascii="仿宋_GB2312" w:eastAsia="仿宋_GB2312"/>
          <w:sz w:val="32"/>
          <w:szCs w:val="32"/>
        </w:rPr>
        <w:t>.</w:t>
      </w:r>
      <w:r>
        <w:rPr>
          <w:rFonts w:ascii="仿宋_GB2312" w:eastAsia="仿宋_GB2312"/>
          <w:sz w:val="32"/>
          <w:szCs w:val="32"/>
        </w:rPr>
        <w:t>1667</w:t>
      </w:r>
      <w:r>
        <w:rPr>
          <w:rFonts w:hint="eastAsia" w:ascii="仿宋_GB2312" w:eastAsia="仿宋_GB2312"/>
          <w:sz w:val="32"/>
          <w:szCs w:val="32"/>
        </w:rPr>
        <w:t>万</w:t>
      </w:r>
      <w:r>
        <w:rPr>
          <w:rFonts w:ascii="仿宋_GB2312" w:eastAsia="仿宋_GB2312"/>
          <w:sz w:val="32"/>
          <w:szCs w:val="32"/>
        </w:rPr>
        <w:t>套、羊耳标90</w:t>
      </w:r>
      <w:r>
        <w:rPr>
          <w:rFonts w:hint="eastAsia" w:ascii="仿宋_GB2312" w:eastAsia="仿宋_GB2312"/>
          <w:sz w:val="32"/>
          <w:szCs w:val="32"/>
        </w:rPr>
        <w:t>.</w:t>
      </w:r>
      <w:r>
        <w:rPr>
          <w:rFonts w:ascii="仿宋_GB2312" w:eastAsia="仿宋_GB2312"/>
          <w:sz w:val="32"/>
          <w:szCs w:val="32"/>
        </w:rPr>
        <w:t>9805</w:t>
      </w:r>
      <w:r>
        <w:rPr>
          <w:rFonts w:hint="eastAsia" w:ascii="仿宋_GB2312" w:eastAsia="仿宋_GB2312"/>
          <w:sz w:val="32"/>
          <w:szCs w:val="32"/>
        </w:rPr>
        <w:t>万</w:t>
      </w:r>
      <w:r>
        <w:rPr>
          <w:rFonts w:ascii="仿宋_GB2312" w:eastAsia="仿宋_GB2312"/>
          <w:sz w:val="32"/>
          <w:szCs w:val="32"/>
        </w:rPr>
        <w:t>套</w:t>
      </w:r>
      <w:r>
        <w:rPr>
          <w:rFonts w:hint="eastAsia" w:ascii="仿宋_GB2312" w:eastAsia="仿宋_GB2312"/>
          <w:sz w:val="32"/>
          <w:szCs w:val="32"/>
        </w:rPr>
        <w:t>。；二是项目资金使用情况分析：支付单位长聘人员1-12月份劳务工资110.54万元，购买实验室检测试剂耗材用于动物疫病监测与流行病学调查90.25万元，实验室仪器设备维护10.47万元，动物标识及动物产品追溯体系建设8</w:t>
      </w:r>
      <w:r>
        <w:rPr>
          <w:rFonts w:ascii="仿宋_GB2312" w:eastAsia="仿宋_GB2312"/>
          <w:sz w:val="32"/>
          <w:szCs w:val="32"/>
        </w:rPr>
        <w:t>0</w:t>
      </w:r>
      <w:r>
        <w:rPr>
          <w:rFonts w:hint="eastAsia" w:ascii="仿宋_GB2312" w:eastAsia="仿宋_GB2312"/>
          <w:sz w:val="32"/>
          <w:szCs w:val="32"/>
        </w:rPr>
        <w:t>万元，购买应急物资20万元。项目支出共计</w:t>
      </w:r>
      <w:r>
        <w:rPr>
          <w:rFonts w:ascii="仿宋_GB2312" w:eastAsia="仿宋_GB2312"/>
          <w:sz w:val="32"/>
          <w:szCs w:val="32"/>
        </w:rPr>
        <w:t>311.</w:t>
      </w:r>
      <w:r>
        <w:rPr>
          <w:rFonts w:hint="eastAsia" w:ascii="仿宋_GB2312" w:eastAsia="仿宋_GB2312"/>
          <w:sz w:val="32"/>
          <w:szCs w:val="32"/>
        </w:rPr>
        <w:t>26万元。项目资金支出率为99.89%。主要经验及做法、存在的问题和建议：一是</w:t>
      </w:r>
      <w:r>
        <w:rPr>
          <w:rFonts w:ascii="仿宋_GB2312" w:eastAsia="仿宋_GB2312"/>
          <w:sz w:val="32"/>
          <w:szCs w:val="32"/>
        </w:rPr>
        <w:t>领导高度重视，认真组织实施</w:t>
      </w:r>
      <w:r>
        <w:rPr>
          <w:rFonts w:hint="eastAsia" w:ascii="仿宋_GB2312" w:eastAsia="仿宋_GB2312"/>
          <w:sz w:val="32"/>
          <w:szCs w:val="32"/>
        </w:rPr>
        <w:t>。</w:t>
      </w:r>
      <w:r>
        <w:rPr>
          <w:rFonts w:ascii="仿宋_GB2312" w:eastAsia="仿宋_GB2312"/>
          <w:sz w:val="32"/>
          <w:szCs w:val="32"/>
        </w:rPr>
        <w:t>中心领导高度重视该项工作，将其作为中心工作的重中之重。成立工作组，召开工作会议，全面布署各项工作，并将各项任务分解到人。并经常过问相关工作进度，针对出现的问题，组织人员认真开展研究，以找出问题的症结所在，提出解决问题的最佳方案，保障了该工作的顺利进行。</w:t>
      </w:r>
      <w:r>
        <w:rPr>
          <w:rFonts w:hint="eastAsia" w:ascii="仿宋_GB2312" w:eastAsia="仿宋_GB2312"/>
          <w:sz w:val="32"/>
          <w:szCs w:val="32"/>
        </w:rPr>
        <w:t>二是</w:t>
      </w:r>
      <w:r>
        <w:rPr>
          <w:rFonts w:ascii="仿宋_GB2312" w:eastAsia="仿宋_GB2312"/>
          <w:sz w:val="32"/>
          <w:szCs w:val="32"/>
        </w:rPr>
        <w:t>严格制度，规范管理</w:t>
      </w:r>
      <w:r>
        <w:rPr>
          <w:rFonts w:hint="eastAsia" w:ascii="仿宋_GB2312" w:eastAsia="仿宋_GB2312"/>
          <w:sz w:val="32"/>
          <w:szCs w:val="32"/>
        </w:rPr>
        <w:t>。</w:t>
      </w:r>
      <w:r>
        <w:rPr>
          <w:rFonts w:ascii="仿宋_GB2312" w:eastAsia="仿宋_GB2312"/>
          <w:sz w:val="32"/>
          <w:szCs w:val="32"/>
        </w:rPr>
        <w:t>中心按照《中华人民共和国政府招标法》、《海南省无规定动物疫病区管理条例》及有关财务规定，规范管理</w:t>
      </w:r>
      <w:r>
        <w:rPr>
          <w:rFonts w:hint="eastAsia" w:ascii="仿宋_GB2312" w:eastAsia="仿宋_GB2312"/>
          <w:sz w:val="32"/>
          <w:szCs w:val="32"/>
        </w:rPr>
        <w:t>实验室检测试剂、应急物资采购</w:t>
      </w:r>
      <w:r>
        <w:rPr>
          <w:rFonts w:ascii="仿宋_GB2312" w:eastAsia="仿宋_GB2312"/>
          <w:sz w:val="32"/>
          <w:szCs w:val="32"/>
        </w:rPr>
        <w:t>，</w:t>
      </w:r>
      <w:r>
        <w:rPr>
          <w:rFonts w:hint="eastAsia" w:ascii="仿宋_GB2312" w:eastAsia="仿宋_GB2312"/>
          <w:sz w:val="32"/>
          <w:szCs w:val="32"/>
        </w:rPr>
        <w:t>按照先关标准规范开展检测。</w:t>
      </w:r>
      <w:r>
        <w:rPr>
          <w:rFonts w:ascii="仿宋_GB2312" w:eastAsia="仿宋_GB2312"/>
          <w:sz w:val="32"/>
          <w:szCs w:val="32"/>
        </w:rPr>
        <w:t>同时制定相关制度，</w:t>
      </w:r>
      <w:r>
        <w:rPr>
          <w:rFonts w:hint="eastAsia" w:ascii="仿宋_GB2312" w:eastAsia="仿宋_GB2312"/>
          <w:sz w:val="32"/>
          <w:szCs w:val="32"/>
        </w:rPr>
        <w:t>确保项目顺利完成</w:t>
      </w:r>
      <w:r>
        <w:rPr>
          <w:rFonts w:ascii="仿宋_GB2312" w:eastAsia="仿宋_GB2312"/>
          <w:sz w:val="32"/>
          <w:szCs w:val="32"/>
        </w:rPr>
        <w:t>。</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农产品质量安全监管项目绩效自评综述：根据年初设定的绩效目标，项目自评得分为97分。全年预算数为56万元，执行数为56万元，完成预算的100%。项目绩效目标完成情况：一是项目绩效目标任务：</w:t>
      </w:r>
      <w:r>
        <w:rPr>
          <w:rFonts w:hint="eastAsia"/>
          <w:bCs/>
          <w:color w:val="000000"/>
          <w:sz w:val="30"/>
          <w:szCs w:val="30"/>
        </w:rPr>
        <w:t>本项目计划承担省级监督抽检任务620批次。省农业农村厅监测计划实际下达抽检任务为870批。根据省农业农村厅监测计划，本单位精心组织实施，顺利完成了2021年度监测计划任务，较好完成了项目绩效目标任务。全年实际共完成了省级抽检任务897批次（为项目计划任务量的144.7%），包括抽检兽药156批次、饲料223批次、畜产品518批次，抽检完成率均超过100%、均覆盖了18市县，较好完成了项目计划任务和主管部门下达的监测计划任务；二是项目资金使用情况：</w:t>
      </w:r>
      <w:r>
        <w:rPr>
          <w:rFonts w:hint="eastAsia"/>
          <w:color w:val="000000"/>
          <w:sz w:val="30"/>
          <w:szCs w:val="30"/>
        </w:rPr>
        <w:t>1、维修（护）费：31.88万元，用于仪器实施设备检定、维修、维护，尤其是大型精密仪器（如液-质联用仪等）的维保。2、专用材料费：23.90万元，用于检测试剂、耗材等相关材料的购置。3、委托业务费：0.22万元，用于抽检样品的委托检验费用。以上合计：56万元。</w:t>
      </w:r>
      <w:r>
        <w:rPr>
          <w:rFonts w:hint="eastAsia" w:ascii="仿宋_GB2312" w:eastAsia="仿宋_GB2312"/>
          <w:sz w:val="32"/>
          <w:szCs w:val="32"/>
        </w:rPr>
        <w:t>发现的主要问题及原因：2021年由于机构改革、人员变动等原因，基层兽药、饲料与畜产品安全监管力量还普遍薄弱，抽样等有关工作还需进一步完善，队伍建设和日常监管有待继续加强。下一步改进措施：一是继续加强兽药、饲料与畜产品质量安全监测工作。加强经费投入，提高继续加强对兽药、饲料及养殖企业的质量监督检查、抽检，促进产品质量提高；扩大畜产品兽药残留监测项目和监测种类，确保畜产品质量安全。二是加强基层监管能力建设。完善监管人员配备与技术培训。发挥技术支撑作用，积极配合各级主管部门做好辖区饲料、畜产品采样技术等培训工作。</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（三）财政评价项目绩效评价结果（无）。</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（四）部门评价项目绩效评价结果（无）。</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pPr>
        <w:shd w:val="clear" w:color="auto" w:fill="FFFFFF"/>
        <w:spacing w:before="100" w:beforeAutospacing="1" w:after="100" w:afterAutospacing="1"/>
        <w:ind w:firstLine="643" w:firstLineChars="200"/>
        <w:rPr>
          <w:rFonts w:ascii="楷体" w:hAnsi="楷体" w:eastAsia="楷体" w:cs="楷体"/>
          <w:b/>
          <w:sz w:val="32"/>
          <w:szCs w:val="32"/>
        </w:rPr>
      </w:pPr>
      <w:bookmarkStart w:id="95" w:name="_Toc5978_WPSOffice_Level2"/>
      <w:bookmarkStart w:id="96" w:name="_Toc23598_WPSOffice_Level2"/>
      <w:bookmarkStart w:id="97" w:name="_Toc32639_WPSOffice_Level2"/>
      <w:bookmarkStart w:id="98" w:name="_Toc18325_WPSOffice_Level2"/>
      <w:bookmarkStart w:id="99" w:name="_Toc15565_WPSOffice_Level2"/>
      <w:bookmarkStart w:id="100" w:name="_Toc15262_WPSOffice_Level2"/>
      <w:r>
        <w:rPr>
          <w:rFonts w:hint="eastAsia" w:ascii="楷体" w:hAnsi="楷体" w:eastAsia="楷体" w:cs="楷体"/>
          <w:b/>
          <w:sz w:val="32"/>
          <w:szCs w:val="32"/>
        </w:rPr>
        <w:t>（一）机关运行经费支出情况。</w:t>
      </w:r>
      <w:bookmarkEnd w:id="95"/>
      <w:bookmarkEnd w:id="96"/>
      <w:bookmarkEnd w:id="97"/>
      <w:bookmarkEnd w:id="98"/>
      <w:bookmarkEnd w:id="99"/>
      <w:bookmarkEnd w:id="100"/>
      <w:bookmarkStart w:id="101" w:name="_Toc23966_WPSOffice_Level2"/>
      <w:bookmarkStart w:id="102" w:name="_Toc13084_WPSOffice_Level2"/>
      <w:bookmarkStart w:id="103" w:name="_Toc30383_WPSOffice_Level2"/>
      <w:bookmarkStart w:id="104" w:name="_Toc3131_WPSOffice_Level2"/>
      <w:bookmarkStart w:id="105" w:name="_Toc25333_WPSOffice_Level2"/>
      <w:bookmarkStart w:id="106" w:name="_Toc32689_WPSOffice_Level2"/>
    </w:p>
    <w:p>
      <w:pPr>
        <w:shd w:val="clear" w:color="auto" w:fill="FFFFFF"/>
        <w:spacing w:before="100" w:beforeAutospacing="1" w:after="100" w:afterAutospacing="1"/>
        <w:ind w:firstLine="960" w:firstLineChars="300"/>
        <w:rPr>
          <w:rFonts w:ascii="楷体" w:hAnsi="楷体" w:eastAsia="楷体" w:cs="楷体"/>
          <w:b/>
          <w:sz w:val="32"/>
          <w:szCs w:val="32"/>
        </w:rPr>
      </w:pPr>
      <w:r>
        <w:rPr>
          <w:rFonts w:hint="eastAsia" w:ascii="仿宋_GB2312" w:hAnsi="ˎ̥" w:eastAsia="仿宋_GB2312"/>
          <w:sz w:val="32"/>
          <w:szCs w:val="32"/>
        </w:rPr>
        <w:t>注：无，本单位为事业单位</w:t>
      </w:r>
    </w:p>
    <w:p>
      <w:pPr>
        <w:ind w:firstLine="643" w:firstLineChars="200"/>
        <w:rPr>
          <w:rFonts w:hint="eastAsia" w:ascii="仿宋_GB2312" w:hAnsi="ˎ̥" w:eastAsia="仿宋_GB2312"/>
          <w:sz w:val="32"/>
          <w:szCs w:val="32"/>
        </w:rPr>
      </w:pPr>
      <w:r>
        <w:rPr>
          <w:rFonts w:hint="eastAsia" w:ascii="楷体" w:hAnsi="楷体" w:eastAsia="楷体" w:cs="楷体"/>
          <w:b/>
          <w:sz w:val="32"/>
          <w:szCs w:val="32"/>
        </w:rPr>
        <w:t>（二）政府采购支出情况。</w:t>
      </w:r>
      <w:bookmarkEnd w:id="101"/>
      <w:bookmarkEnd w:id="102"/>
      <w:bookmarkEnd w:id="103"/>
      <w:bookmarkEnd w:id="104"/>
      <w:bookmarkEnd w:id="105"/>
      <w:bookmarkEnd w:id="106"/>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2021年度海南省动物疫病预防控制中心政府采购支出总额11.88万元，其中：政府采购货物支出11.88万元、政府采购工程支出0万元、政府采购服务支出0万元。授予中小企业合同金额0万元，占政府采购支出总额的0%，其中：授予小微企业合同金额0万元，占政府采购支出总额的0%。</w:t>
      </w:r>
      <w:bookmarkStart w:id="107" w:name="_Toc6016_WPSOffice_Level2"/>
      <w:bookmarkStart w:id="108" w:name="_Toc527_WPSOffice_Level2"/>
      <w:bookmarkStart w:id="109" w:name="_Toc29584_WPSOffice_Level2"/>
      <w:bookmarkStart w:id="110" w:name="_Toc10902_WPSOffice_Level2"/>
      <w:bookmarkStart w:id="111" w:name="_Toc15129_WPSOffice_Level2"/>
      <w:bookmarkStart w:id="112" w:name="_Toc19989_WPSOffice_Level2"/>
    </w:p>
    <w:p>
      <w:pPr>
        <w:shd w:val="clear" w:color="auto" w:fill="FFFFFF"/>
        <w:spacing w:before="100" w:beforeAutospacing="1" w:after="100" w:afterAutospacing="1"/>
        <w:ind w:firstLine="643" w:firstLineChars="200"/>
        <w:rPr>
          <w:rFonts w:hint="eastAsia" w:ascii="仿宋_GB2312" w:hAnsi="ˎ̥" w:eastAsia="仿宋_GB2312"/>
          <w:sz w:val="32"/>
          <w:szCs w:val="32"/>
        </w:rPr>
      </w:pPr>
      <w:r>
        <w:rPr>
          <w:rFonts w:hint="eastAsia" w:ascii="楷体" w:hAnsi="楷体" w:eastAsia="楷体" w:cs="楷体"/>
          <w:b/>
          <w:sz w:val="32"/>
          <w:szCs w:val="32"/>
        </w:rPr>
        <w:t>（三）国有资产占用情况。</w:t>
      </w:r>
      <w:bookmarkEnd w:id="107"/>
      <w:bookmarkEnd w:id="108"/>
      <w:bookmarkEnd w:id="109"/>
      <w:bookmarkEnd w:id="110"/>
      <w:bookmarkEnd w:id="111"/>
      <w:bookmarkEnd w:id="112"/>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截至2021年12月31日，本单位占用房屋面积3500平方米，其中：办公用房1200平方米，业务用房2300平方米，其他（不含构筑物）135平方米。</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本部门共有车辆4辆，其中：从车辆种类说明：轿车1辆、越野车0辆、小型载客汽车0辆、大中型载客汽车0辆、其他车型3辆，其他车型主要是：一小型皮卡车；二是疫苗冷藏专用车；三是流动检测专用车。；从车辆使用情况说明：副部（省）级及以上领导用车0辆、主要领导干部用车0辆、机要通信用车0辆、应急保障用车0辆、执法执勤用车0辆、特种专业技术用车2辆、离退休干部用车0辆、其他用车2辆（业务工作用车）。</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单位价值50万元（含）以上通用设备3台（套），单价100万元（含）以上专用设备3台（套）。</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年末在建工程0万元。</w:t>
      </w:r>
    </w:p>
    <w:p>
      <w:pPr>
        <w:shd w:val="clear" w:color="auto" w:fill="FFFFFF"/>
        <w:spacing w:before="100" w:beforeAutospacing="1" w:after="100" w:afterAutospacing="1"/>
        <w:jc w:val="center"/>
        <w:rPr>
          <w:rFonts w:hint="eastAsia" w:ascii="黑体" w:hAnsi="ˎ̥" w:eastAsia="黑体"/>
          <w:sz w:val="32"/>
          <w:szCs w:val="32"/>
        </w:rPr>
      </w:pPr>
      <w:bookmarkStart w:id="113" w:name="_Toc8874_WPSOffice_Level1"/>
      <w:bookmarkStart w:id="114" w:name="_Toc15425_WPSOffice_Level1"/>
      <w:bookmarkStart w:id="115" w:name="_Toc4398_WPSOffice_Level1"/>
      <w:bookmarkStart w:id="116" w:name="_Toc11039_WPSOffice_Level1"/>
      <w:bookmarkStart w:id="117" w:name="_Toc17580_WPSOffice_Level1"/>
      <w:bookmarkStart w:id="118" w:name="_Toc8808_WPSOffice_Level1"/>
      <w:r>
        <w:rPr>
          <w:rFonts w:hint="eastAsia" w:ascii="黑体" w:hAnsi="ˎ̥" w:eastAsia="黑体"/>
          <w:sz w:val="32"/>
          <w:szCs w:val="32"/>
        </w:rPr>
        <w:t>第四部分  名词解释</w:t>
      </w:r>
      <w:bookmarkEnd w:id="113"/>
      <w:bookmarkEnd w:id="114"/>
      <w:bookmarkEnd w:id="115"/>
      <w:bookmarkEnd w:id="116"/>
      <w:bookmarkEnd w:id="117"/>
      <w:bookmarkEnd w:id="118"/>
    </w:p>
    <w:p>
      <w:pPr>
        <w:shd w:val="clear" w:color="auto" w:fill="FFFFFF"/>
        <w:spacing w:before="100" w:beforeAutospacing="1" w:after="100" w:afterAutospacing="1"/>
        <w:ind w:left="640"/>
        <w:rPr>
          <w:rFonts w:hint="eastAsia" w:ascii="仿宋_GB2312" w:hAnsi="ˎ̥" w:eastAsia="仿宋_GB2312"/>
          <w:sz w:val="32"/>
          <w:szCs w:val="32"/>
        </w:rPr>
      </w:pPr>
      <w:r>
        <w:rPr>
          <w:rFonts w:hint="eastAsia" w:ascii="仿宋_GB2312" w:hAnsi="ˎ̥" w:eastAsia="仿宋_GB2312"/>
          <w:sz w:val="32"/>
          <w:szCs w:val="32"/>
        </w:rPr>
        <w:t>一、财政拨款收入：指同级政府财政部门当年拨付的各类财政拨款。</w:t>
      </w:r>
    </w:p>
    <w:p>
      <w:pPr>
        <w:shd w:val="clear" w:color="auto" w:fill="FFFFFF"/>
        <w:spacing w:before="100" w:beforeAutospacing="1" w:after="100" w:afterAutospacing="1"/>
        <w:ind w:left="640"/>
        <w:rPr>
          <w:rFonts w:hint="eastAsia"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以前年度积累的非限定用途的非同级财政拨款结余资金弥补本年度收支缺口。</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九、结余分配：指事业单位按规定提取的专用基金和缴纳的所得税。</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四、“三公”经费：纳入本级财政预决算管理的“三公”经费，是指本级部门用一般公共预算财政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shd w:val="clear" w:color="auto" w:fill="FFFFFF"/>
        <w:spacing w:before="100" w:beforeAutospacing="1" w:after="100" w:afterAutospacing="1"/>
        <w:ind w:firstLine="640" w:firstLineChars="200"/>
        <w:rPr>
          <w:rFonts w:hint="eastAsia"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beforeAutospacing="1" w:after="100" w:afterAutospacing="1"/>
        <w:ind w:firstLine="645"/>
        <w:rPr>
          <w:rFonts w:hint="eastAsia" w:ascii="仿宋_GB2312" w:hAnsi="ˎ̥" w:eastAsia="仿宋_GB2312"/>
          <w:sz w:val="32"/>
          <w:szCs w:val="32"/>
        </w:rPr>
      </w:pPr>
      <w:r>
        <w:rPr>
          <w:rFonts w:hint="eastAsia" w:ascii="仿宋_GB2312" w:hAnsi="ˎ̥" w:eastAsia="仿宋_GB2312"/>
          <w:sz w:val="32"/>
          <w:szCs w:val="32"/>
        </w:rPr>
        <w:t>（支出功能分类的名词解释，各部门（单位）根据实际支出情况填列，可参阅财政部印发的《2021年政府收支分类科目》）</w:t>
      </w:r>
      <w:bookmarkStart w:id="119" w:name="_GoBack"/>
      <w:bookmarkEnd w:id="119"/>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F023A7"/>
    <w:multiLevelType w:val="multilevel"/>
    <w:tmpl w:val="55F023A7"/>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zk0YTZmOWEzOWM5OTU1MDkzODQ1ODk1ODRhM2Y1NmMifQ=="/>
  </w:docVars>
  <w:rsids>
    <w:rsidRoot w:val="00ED671E"/>
    <w:rsid w:val="000239F7"/>
    <w:rsid w:val="00033855"/>
    <w:rsid w:val="00061E33"/>
    <w:rsid w:val="00087092"/>
    <w:rsid w:val="00092DD9"/>
    <w:rsid w:val="00115CD5"/>
    <w:rsid w:val="00227D84"/>
    <w:rsid w:val="00276051"/>
    <w:rsid w:val="002B5493"/>
    <w:rsid w:val="002D39B1"/>
    <w:rsid w:val="00301F76"/>
    <w:rsid w:val="00303799"/>
    <w:rsid w:val="00352014"/>
    <w:rsid w:val="0036189A"/>
    <w:rsid w:val="003F07C3"/>
    <w:rsid w:val="00443153"/>
    <w:rsid w:val="004607C6"/>
    <w:rsid w:val="004A577B"/>
    <w:rsid w:val="004B70D2"/>
    <w:rsid w:val="004C710F"/>
    <w:rsid w:val="00501881"/>
    <w:rsid w:val="005044FF"/>
    <w:rsid w:val="005206AC"/>
    <w:rsid w:val="005465A5"/>
    <w:rsid w:val="005948A6"/>
    <w:rsid w:val="005E7E05"/>
    <w:rsid w:val="00606F08"/>
    <w:rsid w:val="00626377"/>
    <w:rsid w:val="00655B40"/>
    <w:rsid w:val="00657263"/>
    <w:rsid w:val="006805F5"/>
    <w:rsid w:val="0069642D"/>
    <w:rsid w:val="006D7D94"/>
    <w:rsid w:val="006E3BE0"/>
    <w:rsid w:val="006F0F1D"/>
    <w:rsid w:val="007202E3"/>
    <w:rsid w:val="0072096A"/>
    <w:rsid w:val="007527A5"/>
    <w:rsid w:val="0078542B"/>
    <w:rsid w:val="00795EC0"/>
    <w:rsid w:val="007A7DFD"/>
    <w:rsid w:val="00860E10"/>
    <w:rsid w:val="00901C2B"/>
    <w:rsid w:val="00950B62"/>
    <w:rsid w:val="009C037D"/>
    <w:rsid w:val="009E69E1"/>
    <w:rsid w:val="00A43561"/>
    <w:rsid w:val="00A44A6F"/>
    <w:rsid w:val="00A831BA"/>
    <w:rsid w:val="00AB02D0"/>
    <w:rsid w:val="00AB321A"/>
    <w:rsid w:val="00AC55D8"/>
    <w:rsid w:val="00AF1338"/>
    <w:rsid w:val="00AF1A9E"/>
    <w:rsid w:val="00B26C47"/>
    <w:rsid w:val="00B74BB2"/>
    <w:rsid w:val="00B81DAA"/>
    <w:rsid w:val="00BA10DF"/>
    <w:rsid w:val="00C33472"/>
    <w:rsid w:val="00C33584"/>
    <w:rsid w:val="00C37748"/>
    <w:rsid w:val="00C54221"/>
    <w:rsid w:val="00C60693"/>
    <w:rsid w:val="00C7446E"/>
    <w:rsid w:val="00C77AA2"/>
    <w:rsid w:val="00C85228"/>
    <w:rsid w:val="00C92EE3"/>
    <w:rsid w:val="00C93672"/>
    <w:rsid w:val="00D26248"/>
    <w:rsid w:val="00D34232"/>
    <w:rsid w:val="00D76B5B"/>
    <w:rsid w:val="00D830DB"/>
    <w:rsid w:val="00DA2944"/>
    <w:rsid w:val="00DF289D"/>
    <w:rsid w:val="00E32331"/>
    <w:rsid w:val="00E624D0"/>
    <w:rsid w:val="00E65813"/>
    <w:rsid w:val="00E84278"/>
    <w:rsid w:val="00E87C66"/>
    <w:rsid w:val="00ED671E"/>
    <w:rsid w:val="00EF7455"/>
    <w:rsid w:val="00FB467B"/>
    <w:rsid w:val="06410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wpsoffice1"/>
    <w:basedOn w:val="1"/>
    <w:uiPriority w:val="0"/>
    <w:pPr>
      <w:spacing w:before="100" w:beforeAutospacing="1" w:after="100" w:afterAutospacing="1"/>
    </w:pPr>
  </w:style>
  <w:style w:type="paragraph" w:customStyle="1" w:styleId="5">
    <w:name w:val="wpsoffice2"/>
    <w:basedOn w:val="1"/>
    <w:uiPriority w:val="0"/>
    <w:pPr>
      <w:spacing w:before="100" w:beforeAutospacing="1" w:after="100" w:afterAutospacing="1"/>
    </w:p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0426EE8-A87A-456B-8DB9-E67DF980AB20}">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9402</Words>
  <Characters>10277</Characters>
  <Lines>74</Lines>
  <Paragraphs>21</Paragraphs>
  <TotalTime>626</TotalTime>
  <ScaleCrop>false</ScaleCrop>
  <LinksUpToDate>false</LinksUpToDate>
  <CharactersWithSpaces>10403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2022-08-24T07:13:00Z</dcterms:created>
  <dc:creator>Administrator</dc:creator>
  <cp:lastModifiedBy>poe</cp:lastModifiedBy>
  <dcterms:modified xsi:type="dcterms:W3CDTF">2022-09-15T09:44:51Z</dcterms:modified>
  <dc:title>公开文本2021</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2E04260A338344D9B99242FD756E7B51</vt:lpwstr>
  </property>
</Properties>
</file>