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sz w:val="84"/>
          <w:szCs w:val="84"/>
          <w:u w:val="single"/>
        </w:rPr>
      </w:pPr>
    </w:p>
    <w:p>
      <w:pPr>
        <w:rPr>
          <w:rFonts w:ascii="Times New Roman" w:hAnsi="Times New Roman" w:cs="Times New Roman"/>
          <w:sz w:val="84"/>
          <w:szCs w:val="84"/>
          <w:u w:val="single"/>
        </w:rPr>
      </w:pPr>
    </w:p>
    <w:p>
      <w:pPr>
        <w:rPr>
          <w:rFonts w:ascii="Times New Roman" w:hAnsi="Times New Roman" w:cs="Times New Roman"/>
          <w:sz w:val="84"/>
          <w:szCs w:val="84"/>
          <w:u w:val="single"/>
        </w:rPr>
      </w:pPr>
    </w:p>
    <w:p>
      <w:pPr>
        <w:jc w:val="center"/>
        <w:rPr>
          <w:rFonts w:ascii="Times New Roman" w:hAnsi="Times New Roman" w:cs="Times New Roman" w:eastAsiaTheme="minorEastAsia"/>
          <w:b/>
          <w:sz w:val="72"/>
          <w:szCs w:val="72"/>
        </w:rPr>
      </w:pPr>
      <w:r>
        <w:rPr>
          <w:rFonts w:ascii="Times New Roman" w:hAnsi="Times New Roman" w:cs="Times New Roman" w:eastAsiaTheme="minorEastAsia"/>
          <w:b/>
          <w:sz w:val="72"/>
          <w:szCs w:val="72"/>
        </w:rPr>
        <w:t>20</w:t>
      </w:r>
      <w:r>
        <w:rPr>
          <w:rFonts w:hint="eastAsia" w:ascii="Times New Roman" w:hAnsi="Times New Roman" w:cs="Times New Roman" w:eastAsiaTheme="minorEastAsia"/>
          <w:b/>
          <w:sz w:val="72"/>
          <w:szCs w:val="72"/>
        </w:rPr>
        <w:t>22</w:t>
      </w:r>
      <w:r>
        <w:rPr>
          <w:rFonts w:ascii="Times New Roman" w:cs="Times New Roman" w:hAnsiTheme="minorEastAsia" w:eastAsiaTheme="minorEastAsia"/>
          <w:b/>
          <w:sz w:val="72"/>
          <w:szCs w:val="72"/>
        </w:rPr>
        <w:t>年</w:t>
      </w:r>
      <w:r>
        <w:rPr>
          <w:rFonts w:hint="eastAsia" w:ascii="Times New Roman" w:cs="Times New Roman" w:hAnsiTheme="minorEastAsia" w:eastAsiaTheme="minorEastAsia"/>
          <w:b/>
          <w:sz w:val="72"/>
          <w:szCs w:val="72"/>
        </w:rPr>
        <w:t>中共海南省委组织部</w:t>
      </w:r>
      <w:r>
        <w:rPr>
          <w:rFonts w:ascii="Times New Roman" w:cs="Times New Roman" w:hAnsiTheme="minorEastAsia" w:eastAsiaTheme="minorEastAsia"/>
          <w:b/>
          <w:sz w:val="72"/>
          <w:szCs w:val="72"/>
        </w:rPr>
        <w:t>部门预算</w:t>
      </w:r>
    </w:p>
    <w:p>
      <w:pPr>
        <w:ind w:firstLine="1680"/>
        <w:jc w:val="center"/>
        <w:rPr>
          <w:rFonts w:ascii="Times New Roman" w:hAnsi="Times New Roman" w:cs="Times New Roman"/>
          <w:sz w:val="84"/>
          <w:szCs w:val="84"/>
        </w:rPr>
      </w:pPr>
    </w:p>
    <w:p>
      <w:pPr>
        <w:ind w:firstLine="1680"/>
        <w:jc w:val="center"/>
        <w:rPr>
          <w:rFonts w:ascii="Times New Roman" w:hAnsi="Times New Roman" w:cs="Times New Roman"/>
          <w:sz w:val="84"/>
          <w:szCs w:val="84"/>
        </w:rPr>
      </w:pPr>
    </w:p>
    <w:p>
      <w:pPr>
        <w:ind w:firstLine="1680"/>
        <w:jc w:val="center"/>
        <w:rPr>
          <w:rFonts w:ascii="Times New Roman" w:hAnsi="Times New Roman" w:cs="Times New Roman"/>
          <w:sz w:val="84"/>
          <w:szCs w:val="84"/>
        </w:rPr>
      </w:pPr>
    </w:p>
    <w:p>
      <w:pPr>
        <w:ind w:firstLine="1680"/>
        <w:jc w:val="center"/>
        <w:rPr>
          <w:rFonts w:ascii="Times New Roman" w:hAnsi="Times New Roman" w:cs="Times New Roman"/>
          <w:sz w:val="84"/>
          <w:szCs w:val="84"/>
        </w:rPr>
      </w:pPr>
    </w:p>
    <w:p>
      <w:pPr>
        <w:jc w:val="center"/>
        <w:rPr>
          <w:rFonts w:ascii="Times New Roman" w:hAnsi="Times New Roman" w:cs="Times New Roman"/>
          <w:szCs w:val="32"/>
        </w:rPr>
      </w:pPr>
    </w:p>
    <w:p>
      <w:pPr>
        <w:jc w:val="center"/>
        <w:rPr>
          <w:rFonts w:ascii="Times New Roman" w:hAnsi="Times New Roman" w:cs="Times New Roman"/>
          <w:szCs w:val="32"/>
        </w:rPr>
      </w:pPr>
    </w:p>
    <w:p>
      <w:pPr>
        <w:jc w:val="center"/>
        <w:rPr>
          <w:rFonts w:ascii="Times New Roman" w:hAnsi="Times New Roman" w:cs="Times New Roman"/>
          <w:szCs w:val="32"/>
        </w:rPr>
      </w:pPr>
    </w:p>
    <w:p>
      <w:pPr>
        <w:jc w:val="center"/>
        <w:rPr>
          <w:rFonts w:ascii="Times New Roman" w:hAnsi="Times New Roman" w:cs="Times New Roman"/>
          <w:sz w:val="36"/>
          <w:szCs w:val="36"/>
        </w:rPr>
      </w:pPr>
      <w:r>
        <w:rPr>
          <w:rFonts w:ascii="Times New Roman" w:hAnsi="Times New Roman" w:cs="Times New Roman"/>
          <w:sz w:val="36"/>
          <w:szCs w:val="36"/>
        </w:rPr>
        <w:t>20</w:t>
      </w:r>
      <w:r>
        <w:rPr>
          <w:rFonts w:hint="eastAsia" w:ascii="Times New Roman" w:hAnsi="Times New Roman" w:cs="Times New Roman"/>
          <w:sz w:val="36"/>
          <w:szCs w:val="36"/>
        </w:rPr>
        <w:t>22</w:t>
      </w:r>
      <w:r>
        <w:rPr>
          <w:rFonts w:ascii="Times New Roman" w:hAnsi="Times New Roman" w:cs="Times New Roman"/>
          <w:sz w:val="36"/>
          <w:szCs w:val="36"/>
        </w:rPr>
        <w:t>年2月1</w:t>
      </w:r>
      <w:r>
        <w:rPr>
          <w:rFonts w:hint="eastAsia" w:ascii="Times New Roman" w:hAnsi="Times New Roman" w:cs="Times New Roman"/>
          <w:sz w:val="36"/>
          <w:szCs w:val="36"/>
        </w:rPr>
        <w:t>5</w:t>
      </w:r>
      <w:r>
        <w:rPr>
          <w:rFonts w:ascii="Times New Roman" w:hAnsi="Times New Roman" w:cs="Times New Roman"/>
          <w:sz w:val="36"/>
          <w:szCs w:val="36"/>
        </w:rPr>
        <w:t>日</w:t>
      </w:r>
    </w:p>
    <w:p>
      <w:pPr>
        <w:rPr>
          <w:rFonts w:ascii="Times New Roman" w:hAnsi="Times New Roman" w:cs="Times New Roman"/>
        </w:rPr>
      </w:pPr>
    </w:p>
    <w:p>
      <w:pPr>
        <w:jc w:val="center"/>
        <w:rPr>
          <w:rFonts w:ascii="Times New Roman" w:hAnsi="Times New Roman" w:eastAsia="黑体" w:cs="Times New Roman"/>
          <w:sz w:val="52"/>
          <w:szCs w:val="52"/>
        </w:rPr>
      </w:pPr>
      <w:r>
        <w:rPr>
          <w:rFonts w:ascii="Times New Roman" w:hAnsi="黑体" w:eastAsia="黑体" w:cs="Times New Roman"/>
          <w:sz w:val="52"/>
          <w:szCs w:val="52"/>
        </w:rPr>
        <w:t>目</w:t>
      </w:r>
      <w:r>
        <w:rPr>
          <w:rFonts w:ascii="Times New Roman" w:hAnsi="Times New Roman" w:eastAsia="黑体" w:cs="Times New Roman"/>
          <w:sz w:val="52"/>
          <w:szCs w:val="52"/>
        </w:rPr>
        <w:t xml:space="preserve">  </w:t>
      </w:r>
      <w:r>
        <w:rPr>
          <w:rFonts w:ascii="Times New Roman" w:hAnsi="黑体" w:eastAsia="黑体" w:cs="Times New Roman"/>
          <w:sz w:val="52"/>
          <w:szCs w:val="52"/>
        </w:rPr>
        <w:t>录</w:t>
      </w:r>
    </w:p>
    <w:p>
      <w:pPr>
        <w:rPr>
          <w:rFonts w:ascii="Times New Roman" w:hAnsi="Times New Roman" w:cs="Times New Roman"/>
        </w:rPr>
      </w:pPr>
    </w:p>
    <w:p>
      <w:pPr>
        <w:pStyle w:val="7"/>
        <w:numPr>
          <w:ilvl w:val="0"/>
          <w:numId w:val="1"/>
        </w:numPr>
        <w:ind w:firstLineChars="0"/>
        <w:jc w:val="left"/>
        <w:rPr>
          <w:rFonts w:ascii="Times New Roman" w:hAnsi="Times New Roman" w:eastAsia="黑体" w:cs="Times New Roman"/>
          <w:szCs w:val="32"/>
        </w:rPr>
      </w:pPr>
      <w:r>
        <w:rPr>
          <w:rFonts w:ascii="Times New Roman" w:hAnsi="黑体" w:eastAsia="黑体" w:cs="Times New Roman"/>
          <w:szCs w:val="32"/>
        </w:rPr>
        <w:t>中共海南省委组织部（部门）概况</w:t>
      </w:r>
    </w:p>
    <w:p>
      <w:pPr>
        <w:pStyle w:val="7"/>
        <w:numPr>
          <w:ilvl w:val="0"/>
          <w:numId w:val="2"/>
        </w:numPr>
        <w:ind w:hanging="11" w:firstLineChars="0"/>
        <w:jc w:val="left"/>
        <w:rPr>
          <w:rFonts w:ascii="Times New Roman" w:hAnsi="Times New Roman" w:eastAsia="黑体" w:cs="Times New Roman"/>
          <w:szCs w:val="32"/>
        </w:rPr>
      </w:pPr>
      <w:r>
        <w:rPr>
          <w:rFonts w:ascii="仿宋_GB2312" w:hAnsi="仿宋_GB2312" w:cs="Times New Roman"/>
          <w:szCs w:val="32"/>
        </w:rPr>
        <w:t>主要职能</w:t>
      </w:r>
    </w:p>
    <w:p>
      <w:pPr>
        <w:pStyle w:val="7"/>
        <w:numPr>
          <w:ilvl w:val="0"/>
          <w:numId w:val="2"/>
        </w:numPr>
        <w:ind w:hanging="11" w:firstLineChars="0"/>
        <w:jc w:val="left"/>
        <w:rPr>
          <w:rFonts w:ascii="Times New Roman" w:hAnsi="黑体" w:eastAsia="黑体" w:cs="Times New Roman"/>
          <w:szCs w:val="32"/>
        </w:rPr>
      </w:pPr>
      <w:r>
        <w:rPr>
          <w:rFonts w:ascii="仿宋_GB2312" w:hAnsi="仿宋_GB2312" w:cs="Times New Roman"/>
          <w:szCs w:val="32"/>
        </w:rPr>
        <w:t>部门预算单位构成</w:t>
      </w:r>
    </w:p>
    <w:p>
      <w:pPr>
        <w:pStyle w:val="7"/>
        <w:numPr>
          <w:ilvl w:val="0"/>
          <w:numId w:val="1"/>
        </w:numPr>
        <w:ind w:firstLineChars="0"/>
        <w:jc w:val="left"/>
        <w:rPr>
          <w:rFonts w:ascii="Times New Roman" w:hAnsi="Times New Roman" w:eastAsia="黑体" w:cs="Times New Roman"/>
          <w:szCs w:val="32"/>
        </w:rPr>
      </w:pPr>
      <w:r>
        <w:rPr>
          <w:rFonts w:ascii="Times New Roman" w:hAnsi="黑体" w:eastAsia="黑体" w:cs="Times New Roman"/>
          <w:szCs w:val="32"/>
        </w:rPr>
        <w:t>中共海南省委组织部</w:t>
      </w:r>
      <w:r>
        <w:rPr>
          <w:rFonts w:ascii="Times New Roman" w:hAnsi="Times New Roman" w:eastAsia="黑体" w:cs="Times New Roman"/>
          <w:szCs w:val="32"/>
        </w:rPr>
        <w:t>20</w:t>
      </w:r>
      <w:r>
        <w:rPr>
          <w:rFonts w:hint="eastAsia" w:ascii="Times New Roman" w:hAnsi="Times New Roman" w:eastAsia="黑体" w:cs="Times New Roman"/>
          <w:szCs w:val="32"/>
        </w:rPr>
        <w:t>22</w:t>
      </w:r>
      <w:r>
        <w:rPr>
          <w:rFonts w:ascii="Times New Roman" w:hAnsi="黑体" w:eastAsia="黑体" w:cs="Times New Roman"/>
          <w:szCs w:val="32"/>
        </w:rPr>
        <w:t>年部门预算表</w:t>
      </w:r>
    </w:p>
    <w:p>
      <w:pPr>
        <w:pStyle w:val="7"/>
        <w:numPr>
          <w:ilvl w:val="0"/>
          <w:numId w:val="3"/>
        </w:numPr>
        <w:ind w:hanging="11" w:firstLineChars="0"/>
        <w:rPr>
          <w:rFonts w:ascii="Times New Roman" w:hAnsi="Times New Roman" w:cs="Times New Roman"/>
          <w:szCs w:val="32"/>
        </w:rPr>
      </w:pPr>
      <w:r>
        <w:rPr>
          <w:rFonts w:hint="eastAsia" w:ascii="仿宋_GB2312" w:hAnsi="仿宋_GB2312" w:cs="Times New Roman"/>
          <w:szCs w:val="32"/>
        </w:rPr>
        <w:t>财政拨款收支总表</w:t>
      </w:r>
    </w:p>
    <w:p>
      <w:pPr>
        <w:pStyle w:val="7"/>
        <w:numPr>
          <w:ilvl w:val="0"/>
          <w:numId w:val="3"/>
        </w:numPr>
        <w:ind w:hanging="11" w:firstLineChars="0"/>
        <w:rPr>
          <w:rFonts w:ascii="Times New Roman" w:hAnsi="Times New Roman" w:cs="Times New Roman"/>
          <w:szCs w:val="32"/>
        </w:rPr>
      </w:pPr>
      <w:r>
        <w:rPr>
          <w:rFonts w:ascii="Times New Roman" w:hAnsi="仿宋_GB2312" w:cs="Times New Roman"/>
          <w:szCs w:val="32"/>
        </w:rPr>
        <w:t>一般公共预算支出表</w:t>
      </w:r>
    </w:p>
    <w:p>
      <w:pPr>
        <w:pStyle w:val="7"/>
        <w:numPr>
          <w:ilvl w:val="0"/>
          <w:numId w:val="3"/>
        </w:numPr>
        <w:ind w:hanging="11" w:firstLineChars="0"/>
        <w:rPr>
          <w:rFonts w:ascii="Times New Roman" w:hAnsi="Times New Roman" w:cs="Times New Roman"/>
          <w:szCs w:val="32"/>
        </w:rPr>
      </w:pPr>
      <w:r>
        <w:rPr>
          <w:rFonts w:ascii="Times New Roman" w:hAnsi="仿宋_GB2312" w:cs="Times New Roman"/>
          <w:szCs w:val="32"/>
        </w:rPr>
        <w:t>一般公共预算基本支出表</w:t>
      </w:r>
    </w:p>
    <w:p>
      <w:pPr>
        <w:pStyle w:val="7"/>
        <w:numPr>
          <w:ilvl w:val="0"/>
          <w:numId w:val="3"/>
        </w:numPr>
        <w:ind w:hanging="11" w:firstLineChars="0"/>
        <w:rPr>
          <w:rFonts w:ascii="Times New Roman" w:hAnsi="Times New Roman" w:cs="Times New Roman"/>
          <w:szCs w:val="32"/>
        </w:rPr>
      </w:pPr>
      <w:r>
        <w:rPr>
          <w:rFonts w:ascii="Times New Roman" w:hAnsi="仿宋_GB2312" w:cs="Times New Roman"/>
          <w:szCs w:val="32"/>
        </w:rPr>
        <w:t>一般公共预算</w:t>
      </w:r>
      <w:r>
        <w:rPr>
          <w:rFonts w:ascii="Times New Roman" w:hAnsi="Times New Roman" w:cs="Times New Roman"/>
          <w:szCs w:val="32"/>
        </w:rPr>
        <w:t>“</w:t>
      </w:r>
      <w:r>
        <w:rPr>
          <w:rFonts w:ascii="Times New Roman" w:hAnsi="仿宋_GB2312" w:cs="Times New Roman"/>
          <w:szCs w:val="32"/>
        </w:rPr>
        <w:t>三公</w:t>
      </w:r>
      <w:r>
        <w:rPr>
          <w:rFonts w:ascii="Times New Roman" w:hAnsi="Times New Roman" w:cs="Times New Roman"/>
          <w:szCs w:val="32"/>
        </w:rPr>
        <w:t>”</w:t>
      </w:r>
      <w:r>
        <w:rPr>
          <w:rFonts w:ascii="Times New Roman" w:hAnsi="仿宋_GB2312" w:cs="Times New Roman"/>
          <w:szCs w:val="32"/>
        </w:rPr>
        <w:t>经费支出表</w:t>
      </w:r>
    </w:p>
    <w:p>
      <w:pPr>
        <w:pStyle w:val="7"/>
        <w:numPr>
          <w:ilvl w:val="0"/>
          <w:numId w:val="3"/>
        </w:numPr>
        <w:ind w:hanging="11" w:firstLineChars="0"/>
        <w:rPr>
          <w:rFonts w:ascii="Times New Roman" w:hAnsi="Times New Roman" w:cs="Times New Roman"/>
          <w:szCs w:val="32"/>
        </w:rPr>
      </w:pPr>
      <w:r>
        <w:rPr>
          <w:rFonts w:ascii="Times New Roman" w:hAnsi="仿宋_GB2312" w:cs="Times New Roman"/>
          <w:szCs w:val="32"/>
        </w:rPr>
        <w:t>政府性基金预算支出表</w:t>
      </w:r>
    </w:p>
    <w:p>
      <w:pPr>
        <w:pStyle w:val="7"/>
        <w:numPr>
          <w:ilvl w:val="0"/>
          <w:numId w:val="3"/>
        </w:numPr>
        <w:ind w:hanging="11" w:firstLineChars="0"/>
        <w:rPr>
          <w:rFonts w:ascii="Times New Roman" w:hAnsi="仿宋_GB2312" w:cs="Times New Roman"/>
          <w:szCs w:val="32"/>
        </w:rPr>
      </w:pPr>
      <w:r>
        <w:rPr>
          <w:rFonts w:hint="eastAsia" w:ascii="Times New Roman" w:hAnsi="仿宋_GB2312" w:cs="Times New Roman"/>
          <w:szCs w:val="32"/>
        </w:rPr>
        <w:t>政府性基金预算“三公”经费支出表</w:t>
      </w:r>
    </w:p>
    <w:p>
      <w:pPr>
        <w:pStyle w:val="7"/>
        <w:numPr>
          <w:ilvl w:val="0"/>
          <w:numId w:val="3"/>
        </w:numPr>
        <w:ind w:hanging="11" w:firstLineChars="0"/>
        <w:rPr>
          <w:rFonts w:ascii="Times New Roman" w:hAnsi="仿宋_GB2312" w:cs="Times New Roman"/>
          <w:szCs w:val="32"/>
        </w:rPr>
      </w:pPr>
      <w:r>
        <w:rPr>
          <w:rFonts w:hint="eastAsia" w:ascii="Times New Roman" w:hAnsi="仿宋_GB2312" w:cs="Times New Roman"/>
          <w:szCs w:val="32"/>
        </w:rPr>
        <w:t>部门（单位）收支总表</w:t>
      </w:r>
    </w:p>
    <w:p>
      <w:pPr>
        <w:pStyle w:val="7"/>
        <w:numPr>
          <w:ilvl w:val="0"/>
          <w:numId w:val="3"/>
        </w:numPr>
        <w:ind w:hanging="11" w:firstLineChars="0"/>
        <w:rPr>
          <w:rFonts w:ascii="Times New Roman" w:hAnsi="仿宋_GB2312" w:cs="Times New Roman"/>
          <w:szCs w:val="32"/>
        </w:rPr>
      </w:pPr>
      <w:r>
        <w:rPr>
          <w:rFonts w:hint="eastAsia" w:ascii="Times New Roman" w:hAnsi="仿宋_GB2312" w:cs="Times New Roman"/>
          <w:szCs w:val="32"/>
        </w:rPr>
        <w:t>部门（单位）收入总表</w:t>
      </w:r>
    </w:p>
    <w:p>
      <w:pPr>
        <w:pStyle w:val="7"/>
        <w:numPr>
          <w:ilvl w:val="0"/>
          <w:numId w:val="3"/>
        </w:numPr>
        <w:ind w:hanging="11" w:firstLineChars="0"/>
        <w:rPr>
          <w:rFonts w:ascii="Times New Roman" w:hAnsi="仿宋_GB2312" w:cs="Times New Roman"/>
          <w:szCs w:val="32"/>
        </w:rPr>
      </w:pPr>
      <w:r>
        <w:rPr>
          <w:rFonts w:hint="eastAsia" w:ascii="Times New Roman" w:hAnsi="仿宋_GB2312" w:cs="Times New Roman"/>
          <w:szCs w:val="32"/>
        </w:rPr>
        <w:t>部门（单位）支出总表</w:t>
      </w:r>
    </w:p>
    <w:p>
      <w:pPr>
        <w:pStyle w:val="7"/>
        <w:numPr>
          <w:ilvl w:val="0"/>
          <w:numId w:val="3"/>
        </w:numPr>
        <w:ind w:hanging="11" w:firstLineChars="0"/>
        <w:rPr>
          <w:rFonts w:ascii="Times New Roman" w:hAnsi="仿宋_GB2312" w:cs="Times New Roman"/>
          <w:szCs w:val="32"/>
        </w:rPr>
      </w:pPr>
      <w:r>
        <w:rPr>
          <w:rFonts w:hint="eastAsia" w:ascii="Times New Roman" w:hAnsi="仿宋_GB2312" w:cs="Times New Roman"/>
          <w:szCs w:val="32"/>
        </w:rPr>
        <w:t>项目支出绩效信息表</w:t>
      </w:r>
    </w:p>
    <w:p>
      <w:pPr>
        <w:pStyle w:val="7"/>
        <w:numPr>
          <w:ilvl w:val="0"/>
          <w:numId w:val="1"/>
        </w:numPr>
        <w:ind w:firstLineChars="0"/>
        <w:jc w:val="left"/>
        <w:rPr>
          <w:rFonts w:ascii="Times New Roman" w:hAnsi="黑体" w:eastAsia="黑体" w:cs="Times New Roman"/>
          <w:szCs w:val="32"/>
        </w:rPr>
      </w:pPr>
      <w:r>
        <w:rPr>
          <w:rFonts w:ascii="Times New Roman" w:hAnsi="黑体" w:eastAsia="黑体" w:cs="Times New Roman"/>
          <w:szCs w:val="32"/>
        </w:rPr>
        <w:t>中共海南省委组织部20</w:t>
      </w:r>
      <w:r>
        <w:rPr>
          <w:rFonts w:hint="eastAsia" w:ascii="Times New Roman" w:hAnsi="黑体" w:eastAsia="黑体" w:cs="Times New Roman"/>
          <w:szCs w:val="32"/>
        </w:rPr>
        <w:t>22</w:t>
      </w:r>
      <w:r>
        <w:rPr>
          <w:rFonts w:ascii="Times New Roman" w:hAnsi="黑体" w:eastAsia="黑体" w:cs="Times New Roman"/>
          <w:szCs w:val="32"/>
        </w:rPr>
        <w:t>年部门预算情况说明</w:t>
      </w:r>
    </w:p>
    <w:p>
      <w:pPr>
        <w:pStyle w:val="7"/>
        <w:numPr>
          <w:ilvl w:val="0"/>
          <w:numId w:val="1"/>
        </w:numPr>
        <w:ind w:firstLineChars="0"/>
        <w:jc w:val="left"/>
        <w:rPr>
          <w:rFonts w:ascii="Times New Roman" w:hAnsi="Times New Roman" w:cs="Times New Roman"/>
          <w:szCs w:val="32"/>
        </w:rPr>
      </w:pPr>
      <w:r>
        <w:rPr>
          <w:rFonts w:ascii="Times New Roman" w:hAnsi="黑体" w:eastAsia="黑体" w:cs="Times New Roman"/>
          <w:szCs w:val="32"/>
        </w:rPr>
        <w:t>名词解释</w:t>
      </w:r>
    </w:p>
    <w:p>
      <w:pPr>
        <w:pStyle w:val="7"/>
        <w:ind w:left="1320" w:firstLine="0" w:firstLineChars="0"/>
        <w:jc w:val="left"/>
        <w:rPr>
          <w:rFonts w:ascii="Times New Roman" w:hAnsi="Times New Roman" w:eastAsia="黑体" w:cs="Times New Roman"/>
          <w:szCs w:val="32"/>
        </w:rPr>
      </w:pPr>
    </w:p>
    <w:p>
      <w:pPr>
        <w:pStyle w:val="7"/>
        <w:ind w:left="1320" w:firstLine="0" w:firstLineChars="0"/>
        <w:jc w:val="left"/>
        <w:rPr>
          <w:rFonts w:ascii="Times New Roman" w:hAnsi="Times New Roman" w:eastAsia="黑体" w:cs="Times New Roman"/>
          <w:szCs w:val="32"/>
        </w:rPr>
        <w:sectPr>
          <w:footerReference r:id="rId3" w:type="default"/>
          <w:pgSz w:w="11906" w:h="16838"/>
          <w:pgMar w:top="2211" w:right="1531" w:bottom="2041" w:left="1531" w:header="851" w:footer="1418" w:gutter="0"/>
          <w:cols w:space="425" w:num="1"/>
          <w:docGrid w:type="linesAndChars" w:linePitch="572" w:charSpace="4127"/>
        </w:sectPr>
      </w:pPr>
    </w:p>
    <w:p>
      <w:pPr>
        <w:pStyle w:val="7"/>
        <w:ind w:left="1320" w:firstLine="0" w:firstLineChars="0"/>
        <w:jc w:val="left"/>
        <w:rPr>
          <w:rFonts w:ascii="Times New Roman" w:hAnsi="Times New Roman" w:eastAsia="黑体" w:cs="Times New Roman"/>
          <w:szCs w:val="32"/>
        </w:rPr>
      </w:pPr>
    </w:p>
    <w:p>
      <w:pPr>
        <w:pStyle w:val="7"/>
        <w:numPr>
          <w:ilvl w:val="0"/>
          <w:numId w:val="4"/>
        </w:numPr>
        <w:ind w:firstLineChars="0"/>
        <w:jc w:val="center"/>
        <w:rPr>
          <w:rFonts w:ascii="Times New Roman" w:hAnsi="Times New Roman" w:cs="Times New Roman"/>
          <w:sz w:val="44"/>
          <w:szCs w:val="44"/>
        </w:rPr>
      </w:pPr>
      <w:r>
        <w:rPr>
          <w:rFonts w:ascii="Times New Roman" w:hAnsi="黑体" w:eastAsia="黑体" w:cs="Times New Roman"/>
          <w:sz w:val="44"/>
          <w:szCs w:val="44"/>
        </w:rPr>
        <w:t>中共海南省委组织部概况</w:t>
      </w:r>
    </w:p>
    <w:p>
      <w:pPr>
        <w:spacing w:line="560" w:lineRule="exact"/>
      </w:pPr>
    </w:p>
    <w:p>
      <w:pPr>
        <w:pStyle w:val="7"/>
        <w:numPr>
          <w:ilvl w:val="0"/>
          <w:numId w:val="5"/>
        </w:numPr>
        <w:spacing w:line="560" w:lineRule="exact"/>
        <w:ind w:firstLineChars="0"/>
        <w:jc w:val="left"/>
        <w:rPr>
          <w:rFonts w:ascii="Times New Roman" w:hAnsi="Times New Roman" w:eastAsia="黑体" w:cs="Times New Roman"/>
          <w:szCs w:val="32"/>
        </w:rPr>
      </w:pPr>
      <w:r>
        <w:rPr>
          <w:rFonts w:ascii="Times New Roman" w:hAnsi="黑体" w:eastAsia="黑体" w:cs="Times New Roman"/>
          <w:szCs w:val="32"/>
        </w:rPr>
        <w:t>主要职能</w:t>
      </w:r>
    </w:p>
    <w:p>
      <w:pPr>
        <w:spacing w:line="560" w:lineRule="exact"/>
        <w:ind w:firstLine="680" w:firstLineChars="200"/>
        <w:jc w:val="left"/>
        <w:rPr>
          <w:rFonts w:ascii="仿宋_GB2312" w:hAnsi="Times New Roman" w:cs="Times New Roman"/>
          <w:szCs w:val="32"/>
        </w:rPr>
      </w:pPr>
      <w:r>
        <w:rPr>
          <w:rFonts w:hint="eastAsia" w:ascii="仿宋_GB2312" w:hAnsi="Times New Roman" w:cs="Times New Roman"/>
          <w:szCs w:val="32"/>
        </w:rPr>
        <w:t>中共海南省委组织部是省委主管组织工作、干部工作、公务员工作、老干部工作和完成省委交办的其他任务的职能部门，统一管理省委机构编制委员会办公室，加挂省委老干部局、省公务员局、省委非公有制经济组织和社会组织工作委员会牌子。内设办公室、研究室等20个处级职能机构。管理省委人才发展局；管理省委组织部党员教育中心、省委组织部干部信息管理办公室、省老年大学办公室、省老干部活动中心等4个处级参公事业单位和省老干部休养服务中心、省农垦老干部服务中心等2个处级事业单位。</w:t>
      </w:r>
    </w:p>
    <w:p>
      <w:pPr>
        <w:pStyle w:val="7"/>
        <w:spacing w:line="560" w:lineRule="exact"/>
        <w:ind w:left="720" w:firstLine="170" w:firstLineChars="50"/>
        <w:jc w:val="left"/>
        <w:rPr>
          <w:rFonts w:ascii="Times New Roman" w:hAnsi="Times New Roman" w:eastAsia="黑体" w:cs="Times New Roman"/>
          <w:szCs w:val="32"/>
        </w:rPr>
      </w:pPr>
      <w:r>
        <w:rPr>
          <w:rFonts w:ascii="Times New Roman" w:hAnsi="黑体" w:eastAsia="黑体" w:cs="Times New Roman"/>
          <w:szCs w:val="32"/>
        </w:rPr>
        <w:t>二、部门预算单位构成</w:t>
      </w:r>
    </w:p>
    <w:p>
      <w:pPr>
        <w:spacing w:line="560" w:lineRule="exact"/>
        <w:ind w:firstLine="850" w:firstLineChars="250"/>
        <w:jc w:val="left"/>
        <w:rPr>
          <w:rFonts w:ascii="仿宋_GB2312" w:hAnsi="Times New Roman" w:cs="Times New Roman"/>
          <w:szCs w:val="32"/>
        </w:rPr>
      </w:pPr>
      <w:r>
        <w:rPr>
          <w:rFonts w:hint="eastAsia" w:ascii="仿宋_GB2312" w:hAnsi="Times New Roman" w:cs="Times New Roman"/>
          <w:szCs w:val="32"/>
        </w:rPr>
        <w:t>纳入中共海南省委组织部2022年部门预算编制范围的二级预算单位包括：</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1. 省委组织部本级</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2. 省委组织部党员教育中心</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3. 省委组织部干部信息管理办公室</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4. 省老年大学办公室</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5. 省老干部活动中心</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6. 省老干部休养服务中心</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7. 省农垦老干部服务中心</w:t>
      </w:r>
    </w:p>
    <w:p>
      <w:pPr>
        <w:spacing w:line="560" w:lineRule="exact"/>
        <w:rPr>
          <w:rFonts w:ascii="仿宋_GB2312"/>
        </w:rPr>
      </w:pPr>
    </w:p>
    <w:p>
      <w:pPr>
        <w:spacing w:line="560" w:lineRule="exact"/>
      </w:pPr>
    </w:p>
    <w:p>
      <w:pPr>
        <w:spacing w:line="560" w:lineRule="exact"/>
        <w:jc w:val="center"/>
        <w:rPr>
          <w:rFonts w:ascii="Times New Roman" w:hAnsi="黑体" w:eastAsia="黑体" w:cs="Times New Roman"/>
          <w:sz w:val="44"/>
          <w:szCs w:val="44"/>
        </w:rPr>
      </w:pPr>
      <w:r>
        <w:rPr>
          <w:rFonts w:ascii="Times New Roman" w:hAnsi="黑体" w:eastAsia="黑体" w:cs="Times New Roman"/>
          <w:sz w:val="44"/>
          <w:szCs w:val="44"/>
        </w:rPr>
        <w:t>第二部分  中共海南省委组织部</w:t>
      </w:r>
    </w:p>
    <w:p>
      <w:pPr>
        <w:spacing w:line="560" w:lineRule="exact"/>
        <w:jc w:val="center"/>
        <w:rPr>
          <w:rFonts w:ascii="Times New Roman" w:hAnsi="黑体" w:eastAsia="黑体" w:cs="Times New Roman"/>
          <w:sz w:val="44"/>
          <w:szCs w:val="44"/>
        </w:rPr>
      </w:pPr>
      <w:r>
        <w:rPr>
          <w:rFonts w:ascii="Times New Roman" w:hAnsi="黑体" w:eastAsia="黑体" w:cs="Times New Roman"/>
          <w:sz w:val="44"/>
          <w:szCs w:val="44"/>
        </w:rPr>
        <w:t>20</w:t>
      </w:r>
      <w:r>
        <w:rPr>
          <w:rFonts w:hint="eastAsia" w:ascii="Times New Roman" w:hAnsi="黑体" w:eastAsia="黑体" w:cs="Times New Roman"/>
          <w:sz w:val="44"/>
          <w:szCs w:val="44"/>
        </w:rPr>
        <w:t>22</w:t>
      </w:r>
      <w:r>
        <w:rPr>
          <w:rFonts w:ascii="Times New Roman" w:hAnsi="黑体" w:eastAsia="黑体" w:cs="Times New Roman"/>
          <w:sz w:val="44"/>
          <w:szCs w:val="44"/>
        </w:rPr>
        <w:t>年部门预算表</w:t>
      </w:r>
    </w:p>
    <w:p>
      <w:pPr>
        <w:spacing w:line="560" w:lineRule="exact"/>
        <w:ind w:left="800"/>
        <w:jc w:val="center"/>
        <w:rPr>
          <w:rFonts w:ascii="Times New Roman" w:hAnsi="Times New Roman" w:cs="Times New Roman"/>
          <w:b/>
          <w:szCs w:val="32"/>
        </w:rPr>
      </w:pPr>
      <w:r>
        <w:rPr>
          <w:rFonts w:ascii="Times New Roman" w:hAnsi="Times New Roman" w:cs="Times New Roman"/>
          <w:b/>
          <w:szCs w:val="32"/>
        </w:rPr>
        <w:t>（此部分内容即为部门预算公开表）</w:t>
      </w:r>
    </w:p>
    <w:p>
      <w:pPr>
        <w:spacing w:line="560" w:lineRule="exact"/>
      </w:pPr>
    </w:p>
    <w:p>
      <w:pPr>
        <w:spacing w:line="560" w:lineRule="exact"/>
      </w:pPr>
    </w:p>
    <w:p>
      <w:pPr>
        <w:spacing w:line="560" w:lineRule="exact"/>
        <w:jc w:val="center"/>
        <w:rPr>
          <w:rFonts w:ascii="Times New Roman" w:hAnsi="黑体" w:eastAsia="黑体" w:cs="Times New Roman"/>
          <w:sz w:val="44"/>
          <w:szCs w:val="44"/>
        </w:rPr>
      </w:pPr>
      <w:r>
        <w:rPr>
          <w:rFonts w:ascii="Times New Roman" w:hAnsi="黑体" w:eastAsia="黑体" w:cs="Times New Roman"/>
          <w:sz w:val="44"/>
          <w:szCs w:val="44"/>
        </w:rPr>
        <w:t>第三部分</w:t>
      </w:r>
      <w:r>
        <w:rPr>
          <w:rFonts w:hint="eastAsia" w:ascii="Times New Roman" w:hAnsi="黑体" w:eastAsia="黑体" w:cs="Times New Roman"/>
          <w:sz w:val="44"/>
          <w:szCs w:val="44"/>
        </w:rPr>
        <w:t xml:space="preserve">  </w:t>
      </w:r>
      <w:r>
        <w:rPr>
          <w:rFonts w:ascii="Times New Roman" w:hAnsi="黑体" w:eastAsia="黑体" w:cs="Times New Roman"/>
          <w:sz w:val="44"/>
          <w:szCs w:val="44"/>
        </w:rPr>
        <w:t>中共海南省委组织部</w:t>
      </w:r>
    </w:p>
    <w:p>
      <w:pPr>
        <w:spacing w:line="560" w:lineRule="exact"/>
        <w:jc w:val="center"/>
        <w:rPr>
          <w:rFonts w:ascii="Times New Roman" w:hAnsi="黑体" w:eastAsia="黑体" w:cs="Times New Roman"/>
          <w:sz w:val="44"/>
          <w:szCs w:val="44"/>
        </w:rPr>
      </w:pPr>
      <w:r>
        <w:rPr>
          <w:rFonts w:ascii="Times New Roman" w:hAnsi="黑体" w:eastAsia="黑体" w:cs="Times New Roman"/>
          <w:sz w:val="44"/>
          <w:szCs w:val="44"/>
        </w:rPr>
        <w:t>20</w:t>
      </w:r>
      <w:r>
        <w:rPr>
          <w:rFonts w:hint="eastAsia" w:ascii="Times New Roman" w:hAnsi="黑体" w:eastAsia="黑体" w:cs="Times New Roman"/>
          <w:sz w:val="44"/>
          <w:szCs w:val="44"/>
        </w:rPr>
        <w:t>22</w:t>
      </w:r>
      <w:r>
        <w:rPr>
          <w:rFonts w:ascii="Times New Roman" w:hAnsi="黑体" w:eastAsia="黑体" w:cs="Times New Roman"/>
          <w:sz w:val="44"/>
          <w:szCs w:val="44"/>
        </w:rPr>
        <w:t>年部门预算情况说明</w:t>
      </w:r>
    </w:p>
    <w:p>
      <w:pPr>
        <w:spacing w:line="560" w:lineRule="exact"/>
      </w:pPr>
    </w:p>
    <w:p>
      <w:pPr>
        <w:spacing w:line="560" w:lineRule="exact"/>
      </w:pPr>
    </w:p>
    <w:p>
      <w:pPr>
        <w:spacing w:line="560" w:lineRule="exact"/>
        <w:ind w:firstLine="680" w:firstLineChars="200"/>
        <w:rPr>
          <w:rFonts w:ascii="黑体" w:hAnsi="黑体" w:eastAsia="黑体" w:cs="Times New Roman"/>
          <w:szCs w:val="32"/>
        </w:rPr>
      </w:pPr>
      <w:r>
        <w:rPr>
          <w:rFonts w:ascii="黑体" w:hAnsi="黑体" w:eastAsia="黑体" w:cs="Times New Roman"/>
          <w:szCs w:val="32"/>
        </w:rPr>
        <w:t>一、关于中共海南省委组织部20</w:t>
      </w:r>
      <w:r>
        <w:rPr>
          <w:rFonts w:hint="eastAsia" w:ascii="黑体" w:hAnsi="黑体" w:eastAsia="黑体" w:cs="Times New Roman"/>
          <w:szCs w:val="32"/>
        </w:rPr>
        <w:t>22</w:t>
      </w:r>
      <w:r>
        <w:rPr>
          <w:rFonts w:ascii="黑体" w:hAnsi="黑体" w:eastAsia="黑体" w:cs="Times New Roman"/>
          <w:szCs w:val="32"/>
        </w:rPr>
        <w:t>年财政拨款收支预算情况的总体说明</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中共海南省委组织部2022年财政拨款收支总预算13,380.43万元（收入全部为一般公共预算拨款，无政府性基金预算及国有资本经营预算拨款），比上年预算数减少340.42万元，下降2.48%，主要原因：一是落实过紧日子要求，压减相关经费；二是根据项目的进展情况，部分一次性项目不再编制预算或编制数额较上年度减少。其中，收入总计13,380.43万元，全部为一般公共预算本年收入；支出总计13,380.43万元，包括一般公共服务支出9,340.98万元、教育支出2,302.78万元、社会保障和就业支出668.95万元、卫生健康支出712.51万元、住房保障支出355.22万元。</w:t>
      </w:r>
    </w:p>
    <w:p>
      <w:pPr>
        <w:spacing w:line="560" w:lineRule="exact"/>
        <w:ind w:firstLine="640"/>
        <w:rPr>
          <w:rFonts w:ascii="黑体" w:hAnsi="黑体" w:eastAsia="黑体" w:cs="Times New Roman"/>
          <w:szCs w:val="32"/>
        </w:rPr>
      </w:pPr>
      <w:r>
        <w:rPr>
          <w:rFonts w:ascii="黑体" w:hAnsi="黑体" w:eastAsia="黑体" w:cs="Times New Roman"/>
          <w:szCs w:val="32"/>
        </w:rPr>
        <w:t>二、关于中共海南省委组织部20</w:t>
      </w:r>
      <w:r>
        <w:rPr>
          <w:rFonts w:hint="eastAsia" w:ascii="黑体" w:hAnsi="黑体" w:eastAsia="黑体" w:cs="Times New Roman"/>
          <w:szCs w:val="32"/>
        </w:rPr>
        <w:t>22</w:t>
      </w:r>
      <w:r>
        <w:rPr>
          <w:rFonts w:ascii="黑体" w:hAnsi="黑体" w:eastAsia="黑体" w:cs="Times New Roman"/>
          <w:szCs w:val="32"/>
        </w:rPr>
        <w:t>年一般公共预算当年拨款情况说明</w:t>
      </w:r>
    </w:p>
    <w:p>
      <w:pPr>
        <w:spacing w:line="560" w:lineRule="exact"/>
        <w:ind w:firstLine="640"/>
        <w:rPr>
          <w:rFonts w:ascii="仿宋_GB2312" w:hAnsi="Times New Roman" w:cs="Times New Roman"/>
          <w:b/>
          <w:szCs w:val="32"/>
        </w:rPr>
      </w:pPr>
      <w:r>
        <w:rPr>
          <w:rFonts w:hint="eastAsia" w:ascii="仿宋_GB2312" w:hAnsi="楷体" w:cs="Times New Roman"/>
          <w:b/>
          <w:szCs w:val="32"/>
        </w:rPr>
        <w:t>（一）一般公共预算当年规模变化情况</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中共海南省委组织部2022年一般公共预算当年拨款13,380.43万元，比上年预算数减少340.42万元，下降2.48%，变动原因与财政拨款收支总预算的变动原因一致。</w:t>
      </w:r>
    </w:p>
    <w:p>
      <w:pPr>
        <w:spacing w:line="560" w:lineRule="exact"/>
        <w:ind w:firstLine="680" w:firstLineChars="200"/>
        <w:rPr>
          <w:rFonts w:ascii="仿宋_GB2312" w:hAnsi="Times New Roman" w:cs="Times New Roman"/>
          <w:b/>
          <w:szCs w:val="32"/>
        </w:rPr>
      </w:pPr>
      <w:r>
        <w:rPr>
          <w:rFonts w:hint="eastAsia" w:ascii="仿宋_GB2312" w:hAnsi="楷体" w:cs="Times New Roman"/>
          <w:b/>
          <w:szCs w:val="32"/>
        </w:rPr>
        <w:t>（二）一般公共预算当年拨款结构情况</w:t>
      </w:r>
    </w:p>
    <w:p>
      <w:pPr>
        <w:spacing w:line="560" w:lineRule="exact"/>
        <w:ind w:firstLine="850" w:firstLineChars="250"/>
        <w:rPr>
          <w:rFonts w:ascii="仿宋_GB2312" w:hAnsi="Times New Roman" w:cs="Times New Roman"/>
          <w:szCs w:val="32"/>
        </w:rPr>
      </w:pPr>
      <w:r>
        <w:rPr>
          <w:rFonts w:hint="eastAsia" w:ascii="仿宋_GB2312" w:hAnsi="Times New Roman" w:cs="Times New Roman"/>
          <w:szCs w:val="32"/>
        </w:rPr>
        <w:t>一般公共服务（类）支出9,340.98万元，占69.81%；教育支出2,302.78万元，占17.21%；社会保障和就业支出668.95万元，占5.00%；卫生健康支出712.51万元，占5.33%；住房保障支出355.22万元，占2.65%。</w:t>
      </w:r>
    </w:p>
    <w:p>
      <w:pPr>
        <w:spacing w:line="560" w:lineRule="exact"/>
        <w:ind w:firstLine="640"/>
        <w:rPr>
          <w:rFonts w:ascii="仿宋_GB2312" w:hAnsi="Times New Roman" w:cs="Times New Roman"/>
          <w:b/>
          <w:szCs w:val="32"/>
        </w:rPr>
      </w:pPr>
      <w:r>
        <w:rPr>
          <w:rFonts w:hint="eastAsia" w:ascii="仿宋_GB2312" w:hAnsi="楷体" w:cs="Times New Roman"/>
          <w:b/>
          <w:szCs w:val="32"/>
        </w:rPr>
        <w:t>（三）一般公共预算当年拨款具体使用情况</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1. 一般公共服务（类）组织事务（款）行政运行（项）2022年预算数为3,747.95万元，比上年预算数增加244.65万元，增长6.98%，主要原因：人员增加、工资正常晋升。</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2. 一般公共服务（类）组织事务（款）一般行政管理事务（项）2022年预算数为2,417.36万元，比上年预算数减少1,391.61万元，下降36.54%，主要原因：一是落实过紧日子要求，压减相关经费；二是根据项目的进展情况，部分一次性项目不再编制预算或编制数额较上年度减少。</w:t>
      </w:r>
    </w:p>
    <w:p>
      <w:pPr>
        <w:spacing w:line="560" w:lineRule="exact"/>
        <w:ind w:firstLine="640"/>
        <w:rPr>
          <w:rFonts w:ascii="仿宋_GB2312" w:hAnsi="Times New Roman" w:cs="Times New Roman"/>
          <w:szCs w:val="32"/>
        </w:rPr>
      </w:pPr>
      <w:r>
        <w:rPr>
          <w:rFonts w:hint="eastAsia" w:ascii="仿宋_GB2312" w:hAnsi="Times New Roman" w:cs="Times New Roman"/>
          <w:szCs w:val="32"/>
        </w:rPr>
        <w:t>3. 一般公共服务（类）组织事务（款）公务员事务（项）2022年预算数为86.75万元，比上年预算数增加41.36万元，增长91.12%，主要原因：一是新开展全省“人民满意的公务员”代表休假疗养活动；二是以前制作的公务员奖励证书和奖章已使用完，2022年计划制作一批新款奖章证书。</w:t>
      </w:r>
    </w:p>
    <w:p>
      <w:pPr>
        <w:spacing w:line="560" w:lineRule="exact"/>
        <w:ind w:firstLine="640"/>
        <w:rPr>
          <w:rFonts w:ascii="仿宋_GB2312" w:hAnsi="Times New Roman" w:cs="Times New Roman"/>
          <w:szCs w:val="32"/>
        </w:rPr>
      </w:pPr>
      <w:r>
        <w:rPr>
          <w:rFonts w:hint="eastAsia" w:ascii="仿宋_GB2312" w:hAnsi="Times New Roman" w:cs="Times New Roman"/>
          <w:szCs w:val="32"/>
        </w:rPr>
        <w:t>4. 一般公共服务（类）组织事务（款）事业运行（项）2022年预算数为1,539.60万元，比上年预算数减少59.61万元，下降3.73%，主要原因：省农垦老干部服务中心人员减少，相关经费相应减少。</w:t>
      </w:r>
    </w:p>
    <w:p>
      <w:pPr>
        <w:spacing w:line="560" w:lineRule="exact"/>
        <w:ind w:firstLine="640"/>
        <w:rPr>
          <w:rFonts w:ascii="仿宋_GB2312" w:hAnsi="Times New Roman" w:cs="Times New Roman"/>
          <w:szCs w:val="32"/>
        </w:rPr>
      </w:pPr>
      <w:r>
        <w:rPr>
          <w:rFonts w:hint="eastAsia" w:ascii="仿宋_GB2312" w:hAnsi="Times New Roman" w:cs="Times New Roman"/>
          <w:szCs w:val="32"/>
        </w:rPr>
        <w:t>5. 一般公共服务（类）组织事务（款）其他组织事务支出（项）2022年预算数为1,549.32万元，比上年预算数增加140.64万元，增长9.98%，主要原因：根据2022年省级非公企业和社会组织基层党组织实有数量、符合发放党组织书记工作津贴的人数科学编制预算。</w:t>
      </w:r>
    </w:p>
    <w:p>
      <w:pPr>
        <w:spacing w:line="560" w:lineRule="exact"/>
        <w:ind w:firstLine="640"/>
        <w:rPr>
          <w:rFonts w:ascii="仿宋_GB2312" w:hAnsi="Times New Roman" w:cs="Times New Roman"/>
          <w:szCs w:val="32"/>
        </w:rPr>
      </w:pPr>
      <w:r>
        <w:rPr>
          <w:rFonts w:hint="eastAsia" w:ascii="仿宋_GB2312" w:hAnsi="Times New Roman" w:cs="Times New Roman"/>
          <w:szCs w:val="32"/>
        </w:rPr>
        <w:t>6. 教育支出（类）进修与培训（款）培训支出（项）2022年预算数为2，302.78万元，比上年预算数增加634.05万元，增长38.00%，主要原因：一是受疫情影响，部分境外培训班和省外培训班2021年未编制预算；二是根据省委关于深入开展“能力提升建设年”活动的部署要求，进一步加大各级各类干部教育培训力度。</w:t>
      </w:r>
    </w:p>
    <w:p>
      <w:pPr>
        <w:spacing w:line="560" w:lineRule="exact"/>
        <w:ind w:firstLine="640"/>
        <w:rPr>
          <w:rFonts w:ascii="仿宋_GB2312" w:hAnsi="Times New Roman" w:cs="Times New Roman"/>
          <w:szCs w:val="32"/>
        </w:rPr>
      </w:pPr>
      <w:r>
        <w:rPr>
          <w:rFonts w:hint="eastAsia" w:ascii="仿宋_GB2312" w:hAnsi="Times New Roman" w:cs="Times New Roman"/>
          <w:szCs w:val="32"/>
        </w:rPr>
        <w:t>7. 社会保障和就业支出（类）行政事业单位养老支出（款）行政单位离退休（项）2022年预算数为18.72万元，比上年预算数增加0.05万元，增长0.27%，主要原因：离休费正常变动。</w:t>
      </w:r>
    </w:p>
    <w:p>
      <w:pPr>
        <w:spacing w:line="560" w:lineRule="exact"/>
        <w:ind w:firstLine="640"/>
        <w:rPr>
          <w:rFonts w:ascii="仿宋_GB2312" w:hAnsi="Times New Roman" w:cs="Times New Roman"/>
          <w:spacing w:val="4"/>
          <w:szCs w:val="32"/>
        </w:rPr>
      </w:pPr>
      <w:r>
        <w:rPr>
          <w:rFonts w:hint="eastAsia" w:ascii="仿宋_GB2312" w:hAnsi="Times New Roman" w:cs="Times New Roman"/>
          <w:spacing w:val="4"/>
          <w:szCs w:val="32"/>
        </w:rPr>
        <w:t>8. 社会保障和就业支出（类）行政事业单位养老支出（款）事业单位离退休（项）2022年预算数为53.53万元，比上年预算数减少69.75万元，下降56.58%，主要原因：由省农垦老干部服务中心代发离休金的原农垦总局离休人员减少，经费相应减少。</w:t>
      </w:r>
    </w:p>
    <w:p>
      <w:pPr>
        <w:spacing w:line="560" w:lineRule="exact"/>
        <w:ind w:firstLine="640"/>
        <w:rPr>
          <w:rFonts w:ascii="仿宋_GB2312" w:hAnsi="Times New Roman" w:cs="Times New Roman"/>
          <w:szCs w:val="32"/>
        </w:rPr>
      </w:pPr>
      <w:r>
        <w:rPr>
          <w:rFonts w:hint="eastAsia" w:ascii="仿宋_GB2312" w:hAnsi="Times New Roman" w:cs="Times New Roman"/>
          <w:szCs w:val="32"/>
        </w:rPr>
        <w:t>9. 社会保障和就业支出（类）行政事业单位养老支出（款）离退休人员管理机构（项）2022年预算数为69.41万元，比上年预算数增加9.41万元，增长15.68%，主要原因：新开展省农垦老干部服务中心离退休人员海南自贸港建设研讨活动。</w:t>
      </w:r>
    </w:p>
    <w:p>
      <w:pPr>
        <w:spacing w:line="560" w:lineRule="exact"/>
        <w:ind w:firstLine="640"/>
        <w:rPr>
          <w:rFonts w:ascii="仿宋_GB2312" w:hAnsi="Times New Roman" w:cs="Times New Roman"/>
          <w:szCs w:val="32"/>
        </w:rPr>
      </w:pPr>
      <w:r>
        <w:rPr>
          <w:rFonts w:hint="eastAsia" w:ascii="仿宋_GB2312" w:hAnsi="Times New Roman" w:cs="Times New Roman"/>
          <w:szCs w:val="32"/>
        </w:rPr>
        <w:t>10. 社会保障和就业支出（类）行政事业单位养老支出（款）机关事业单位基本养老保险缴费支出（项）2022年预算数为418.84万元，比上年预算数增加23.37万元，增长5.91%，主要原因：人员增加和基本养老保险单位应缴费部分增加。</w:t>
      </w:r>
    </w:p>
    <w:p>
      <w:pPr>
        <w:spacing w:line="560" w:lineRule="exact"/>
        <w:ind w:firstLine="640"/>
        <w:rPr>
          <w:rFonts w:ascii="仿宋_GB2312" w:hAnsi="Times New Roman" w:cs="Times New Roman"/>
          <w:szCs w:val="32"/>
        </w:rPr>
      </w:pPr>
      <w:r>
        <w:rPr>
          <w:rFonts w:hint="eastAsia" w:ascii="仿宋_GB2312" w:hAnsi="Times New Roman" w:cs="Times New Roman"/>
          <w:szCs w:val="32"/>
        </w:rPr>
        <w:t>11. 社会保障和就业支出（类）行政事业单位养老支出（款）机关事业单位职业年金缴费支出（项）2022年预算数为98.82万元，比上年预算数增加55.91万元，增长130.30%，主要原因：一是职业年金记实缴费人数增加；二是省农垦老干部服务中心2021年年初未编制职业年金预算，导致基数小。</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12. 社会保障和就业支出（类）抚恤（款）其他优抚支出（项）2022年预算数为9.63万元，比上年预算数增加2.92万元，增长43.52%，主要原因：省农垦老干部服务中心遗属人员补助经费变动。</w:t>
      </w:r>
    </w:p>
    <w:p>
      <w:pPr>
        <w:spacing w:line="560" w:lineRule="exact"/>
        <w:ind w:firstLine="640"/>
        <w:rPr>
          <w:rFonts w:ascii="仿宋_GB2312" w:hAnsi="Times New Roman" w:cs="Times New Roman"/>
          <w:szCs w:val="32"/>
        </w:rPr>
      </w:pPr>
      <w:r>
        <w:rPr>
          <w:rFonts w:hint="eastAsia" w:ascii="仿宋_GB2312" w:hAnsi="Times New Roman" w:cs="Times New Roman"/>
          <w:szCs w:val="32"/>
        </w:rPr>
        <w:t>13. 卫生健康支出（类）行政事业单位医疗（款）行政单位医疗（项）2022年预算数为163.75万元，比上年预算数增加15.24万元，增长10.26%，主要原因：人员变动、行政单位医疗缴费基数变动。</w:t>
      </w:r>
    </w:p>
    <w:p>
      <w:pPr>
        <w:spacing w:line="560" w:lineRule="exact"/>
        <w:ind w:firstLine="640"/>
        <w:rPr>
          <w:rFonts w:ascii="仿宋_GB2312" w:hAnsi="Times New Roman" w:cs="Times New Roman"/>
          <w:spacing w:val="4"/>
          <w:szCs w:val="32"/>
        </w:rPr>
      </w:pPr>
      <w:r>
        <w:rPr>
          <w:rFonts w:hint="eastAsia" w:ascii="仿宋_GB2312" w:hAnsi="Times New Roman" w:cs="Times New Roman"/>
          <w:spacing w:val="4"/>
          <w:szCs w:val="32"/>
        </w:rPr>
        <w:t>14. 卫生健康支出（类）行政事业单位医疗（款）事业单位医疗（项）2022年预算数为58.77万元，比上年预算数减少2.81万元，下降4.56%，主要原因：人员变动、事业单位医疗缴费基数变动。</w:t>
      </w:r>
    </w:p>
    <w:p>
      <w:pPr>
        <w:spacing w:line="560" w:lineRule="exact"/>
        <w:ind w:firstLine="640"/>
        <w:rPr>
          <w:rFonts w:ascii="仿宋_GB2312" w:hAnsi="Times New Roman" w:cs="Times New Roman"/>
          <w:szCs w:val="32"/>
        </w:rPr>
      </w:pPr>
      <w:r>
        <w:rPr>
          <w:rFonts w:hint="eastAsia" w:ascii="仿宋_GB2312" w:hAnsi="Times New Roman" w:cs="Times New Roman"/>
          <w:szCs w:val="32"/>
        </w:rPr>
        <w:t>15. 卫生健康支出（类）行政事业单位医疗（款）公务员医疗补助（项）2022年预算数为490万元，与上年度持平</w:t>
      </w:r>
      <w:r>
        <w:rPr>
          <w:rFonts w:hint="eastAsia" w:ascii="仿宋_GB2312" w:hAnsi="Times New Roman" w:cs="Times New Roman"/>
          <w:spacing w:val="4"/>
          <w:szCs w:val="32"/>
        </w:rPr>
        <w:t>。</w:t>
      </w:r>
    </w:p>
    <w:p>
      <w:pPr>
        <w:spacing w:line="560" w:lineRule="exact"/>
        <w:ind w:firstLine="640"/>
        <w:rPr>
          <w:rFonts w:ascii="仿宋_GB2312" w:hAnsi="Times New Roman" w:cs="Times New Roman"/>
          <w:szCs w:val="32"/>
        </w:rPr>
      </w:pPr>
      <w:r>
        <w:rPr>
          <w:rFonts w:hint="eastAsia" w:ascii="仿宋_GB2312" w:hAnsi="Times New Roman" w:cs="Times New Roman"/>
          <w:szCs w:val="32"/>
        </w:rPr>
        <w:t>16. 住房保障支出（类）住房改革支出（款）住房公积金（项）2022年预算数为352.13万元，比上年预算数增加16.15万元，增长4.81%，</w:t>
      </w:r>
      <w:r>
        <w:rPr>
          <w:rFonts w:hint="eastAsia" w:ascii="仿宋_GB2312" w:hAnsi="Times New Roman" w:cs="Times New Roman"/>
          <w:spacing w:val="4"/>
          <w:szCs w:val="32"/>
        </w:rPr>
        <w:t>主要原因：人员增加和住房公积金缴费基数变动。</w:t>
      </w:r>
    </w:p>
    <w:p>
      <w:pPr>
        <w:spacing w:line="560" w:lineRule="exact"/>
        <w:ind w:firstLine="640"/>
        <w:rPr>
          <w:rFonts w:ascii="仿宋_GB2312" w:hAnsi="Times New Roman" w:cs="Times New Roman"/>
          <w:szCs w:val="32"/>
        </w:rPr>
      </w:pPr>
      <w:r>
        <w:rPr>
          <w:rFonts w:hint="eastAsia" w:ascii="仿宋_GB2312" w:hAnsi="Times New Roman" w:cs="Times New Roman"/>
          <w:szCs w:val="32"/>
        </w:rPr>
        <w:t>17. 住房保障支出（类）住房改革支出（款）购房补贴（项）2022年预算数为3.09万元，比上年预算数减少0.37万元，下降10.69%，主要原因：享受购房补贴的人数、月数变动。</w:t>
      </w:r>
    </w:p>
    <w:p>
      <w:pPr>
        <w:spacing w:line="560" w:lineRule="exact"/>
        <w:ind w:firstLine="510" w:firstLineChars="150"/>
        <w:rPr>
          <w:rFonts w:ascii="黑体" w:hAnsi="黑体" w:eastAsia="黑体" w:cs="Times New Roman"/>
          <w:szCs w:val="32"/>
        </w:rPr>
      </w:pPr>
      <w:r>
        <w:rPr>
          <w:rFonts w:ascii="黑体" w:hAnsi="黑体" w:eastAsia="黑体" w:cs="Times New Roman"/>
          <w:szCs w:val="32"/>
        </w:rPr>
        <w:t>三、关于中共海南省委组织部20</w:t>
      </w:r>
      <w:r>
        <w:rPr>
          <w:rFonts w:hint="eastAsia" w:ascii="黑体" w:hAnsi="黑体" w:eastAsia="黑体" w:cs="Times New Roman"/>
          <w:szCs w:val="32"/>
        </w:rPr>
        <w:t>22</w:t>
      </w:r>
      <w:r>
        <w:rPr>
          <w:rFonts w:ascii="黑体" w:hAnsi="黑体" w:eastAsia="黑体" w:cs="Times New Roman"/>
          <w:szCs w:val="32"/>
        </w:rPr>
        <w:t>年一般公共预算基本支出情况说明</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中共海南省委组织部2022年一般公共预算基本支出为6,954.82万元，其中：</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人员经费5,632.91万元，主要包括：基本工资、津贴补贴、奖金、绩效工资、机关事业单位基本养老保险缴费、职业年金缴费、城镇职工基本医疗保险缴费、其他社会保障缴费、住房公积金、医疗费、奖励金、其他工资福利支出、离休费、抚恤金、生活补助、其他对个人和家庭补助支出;</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公用经费1,321.91万元，主要包括：办公费、印刷费、咨询费、手续费、水费、电费、邮电费、物业管理费、差旅费、因公出国（境）费用、维修（护）费、会议费、培训费、公务接待费、委托业务费、工会经费、福利费、公务用车运行维护费、其他交通费用、办公设备购置、其他商品和服务支出。</w:t>
      </w:r>
    </w:p>
    <w:p>
      <w:pPr>
        <w:spacing w:line="560" w:lineRule="exact"/>
        <w:ind w:firstLine="696" w:firstLineChars="200"/>
        <w:rPr>
          <w:rFonts w:ascii="黑体" w:hAnsi="黑体" w:eastAsia="黑体" w:cs="Times New Roman"/>
          <w:spacing w:val="4"/>
          <w:shd w:val="clear" w:color="auto" w:fill="FFFFFF"/>
        </w:rPr>
      </w:pPr>
      <w:r>
        <w:rPr>
          <w:rFonts w:ascii="黑体" w:hAnsi="黑体" w:eastAsia="黑体" w:cs="Times New Roman"/>
          <w:spacing w:val="4"/>
          <w:shd w:val="clear" w:color="auto" w:fill="FFFFFF"/>
        </w:rPr>
        <w:t>四、中共海南省委组织部20</w:t>
      </w:r>
      <w:r>
        <w:rPr>
          <w:rFonts w:hint="eastAsia" w:ascii="黑体" w:hAnsi="黑体" w:eastAsia="黑体" w:cs="Times New Roman"/>
          <w:spacing w:val="4"/>
          <w:shd w:val="clear" w:color="auto" w:fill="FFFFFF"/>
        </w:rPr>
        <w:t>22</w:t>
      </w:r>
      <w:r>
        <w:rPr>
          <w:rFonts w:ascii="黑体" w:hAnsi="黑体" w:eastAsia="黑体" w:cs="Times New Roman"/>
          <w:spacing w:val="4"/>
          <w:shd w:val="clear" w:color="auto" w:fill="FFFFFF"/>
        </w:rPr>
        <w:t>年“三公”经费预算情况说明</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中共海南省委组织部2022年“三公”经费预算数为159.18万元，与上年度持平，其中：</w:t>
      </w:r>
    </w:p>
    <w:p>
      <w:pPr>
        <w:spacing w:line="560" w:lineRule="exact"/>
        <w:rPr>
          <w:rFonts w:ascii="仿宋_GB2312" w:hAnsi="Times New Roman" w:cs="Times New Roman"/>
          <w:shd w:val="clear" w:color="auto" w:fill="FFFFFF"/>
        </w:rPr>
      </w:pPr>
      <w:r>
        <w:rPr>
          <w:rFonts w:hint="eastAsia" w:ascii="仿宋_GB2312" w:hAnsi="Times New Roman" w:cs="Times New Roman"/>
          <w:shd w:val="clear" w:color="auto" w:fill="FFFFFF"/>
        </w:rPr>
        <w:t xml:space="preserve">    因公出国（境）经费</w:t>
      </w:r>
      <w:r>
        <w:rPr>
          <w:rFonts w:hint="eastAsia" w:ascii="仿宋_GB2312" w:hAnsi="Times New Roman" w:cs="Times New Roman"/>
          <w:szCs w:val="32"/>
        </w:rPr>
        <w:t>25.00万元</w:t>
      </w:r>
      <w:r>
        <w:rPr>
          <w:rFonts w:hint="eastAsia" w:ascii="仿宋_GB2312" w:hAnsi="Times New Roman" w:cs="Times New Roman"/>
          <w:shd w:val="clear" w:color="auto" w:fill="FFFFFF"/>
        </w:rPr>
        <w:t>，较上年预算增长8.70%，主要原因：一是受疫情影响，2021年出国（境）费用预算较少；二是出访国别不同综合费用标准不同，2022年在严格控制“三公”经费总量零增长的前提下，根据工作实际编制因公出国（境）经费。2022年拟安排出国（境）团（组）3次，出国（境）6人。目的地待定，天数待定。经费主要用于中组部、省委省政府组织的因公出访外事活动；</w:t>
      </w:r>
    </w:p>
    <w:p>
      <w:pPr>
        <w:spacing w:line="560" w:lineRule="exact"/>
        <w:ind w:firstLine="680" w:firstLineChars="200"/>
        <w:rPr>
          <w:rFonts w:ascii="仿宋_GB2312" w:hAnsi="Times New Roman" w:cs="Times New Roman"/>
          <w:shd w:val="clear" w:color="auto" w:fill="FFFFFF"/>
        </w:rPr>
      </w:pPr>
      <w:r>
        <w:rPr>
          <w:rFonts w:hint="eastAsia" w:ascii="仿宋_GB2312" w:hAnsi="Times New Roman" w:cs="Times New Roman"/>
          <w:shd w:val="clear" w:color="auto" w:fill="FFFFFF"/>
        </w:rPr>
        <w:t>公务用车购置及运行费</w:t>
      </w:r>
      <w:r>
        <w:rPr>
          <w:rFonts w:hint="eastAsia" w:ascii="仿宋_GB2312" w:hAnsi="Times New Roman" w:cs="Times New Roman"/>
          <w:szCs w:val="32"/>
        </w:rPr>
        <w:t>100.98万元（其中，</w:t>
      </w:r>
      <w:r>
        <w:rPr>
          <w:rFonts w:hint="eastAsia" w:ascii="仿宋_GB2312" w:hAnsi="Times New Roman" w:cs="Times New Roman"/>
          <w:shd w:val="clear" w:color="auto" w:fill="FFFFFF"/>
        </w:rPr>
        <w:t>公务用车购置费</w:t>
      </w:r>
      <w:r>
        <w:rPr>
          <w:rFonts w:hint="eastAsia" w:ascii="仿宋_GB2312" w:hAnsi="Times New Roman" w:cs="Times New Roman"/>
          <w:szCs w:val="32"/>
        </w:rPr>
        <w:t>0万元</w:t>
      </w:r>
      <w:r>
        <w:rPr>
          <w:rFonts w:hint="eastAsia" w:ascii="仿宋_GB2312" w:hAnsi="Times New Roman" w:cs="Times New Roman"/>
          <w:shd w:val="clear" w:color="auto" w:fill="FFFFFF"/>
        </w:rPr>
        <w:t>，公务用车运行费</w:t>
      </w:r>
      <w:r>
        <w:rPr>
          <w:rFonts w:hint="eastAsia" w:ascii="仿宋_GB2312" w:hAnsi="Times New Roman" w:cs="Times New Roman"/>
          <w:szCs w:val="32"/>
        </w:rPr>
        <w:t>100.98万元）</w:t>
      </w:r>
      <w:r>
        <w:rPr>
          <w:rFonts w:hint="eastAsia" w:ascii="仿宋_GB2312" w:hAnsi="Times New Roman" w:cs="Times New Roman"/>
          <w:shd w:val="clear" w:color="auto" w:fill="FFFFFF"/>
        </w:rPr>
        <w:t>，较上年预算下降0.95%。主要原因：认真贯彻落实中央“八项规定”精神和厉行节约的要求，从严控制“三公”经费开支。公务用车保有量30辆，计划购置0辆；</w:t>
      </w:r>
    </w:p>
    <w:p>
      <w:pPr>
        <w:spacing w:line="560" w:lineRule="exact"/>
        <w:ind w:firstLine="680" w:firstLineChars="200"/>
        <w:rPr>
          <w:rFonts w:ascii="仿宋_GB2312" w:hAnsi="Times New Roman" w:cs="Times New Roman"/>
          <w:shd w:val="clear" w:color="auto" w:fill="FFFFFF"/>
        </w:rPr>
      </w:pPr>
      <w:r>
        <w:rPr>
          <w:rFonts w:hint="eastAsia" w:ascii="仿宋_GB2312" w:hAnsi="Times New Roman" w:cs="Times New Roman"/>
          <w:szCs w:val="32"/>
        </w:rPr>
        <w:t>公务接待费33.20</w:t>
      </w:r>
      <w:r>
        <w:rPr>
          <w:rFonts w:hint="eastAsia" w:ascii="仿宋_GB2312" w:hAnsi="Times New Roman" w:cs="Times New Roman"/>
          <w:shd w:val="clear" w:color="auto" w:fill="FFFFFF"/>
        </w:rPr>
        <w:t>万元，较上年预算下降</w:t>
      </w:r>
      <w:r>
        <w:rPr>
          <w:rFonts w:hint="eastAsia" w:ascii="仿宋_GB2312" w:hAnsi="Times New Roman" w:cs="Times New Roman"/>
          <w:szCs w:val="32"/>
        </w:rPr>
        <w:t>3.04</w:t>
      </w:r>
      <w:r>
        <w:rPr>
          <w:rFonts w:hint="eastAsia" w:ascii="仿宋_GB2312" w:hAnsi="Times New Roman" w:cs="Times New Roman"/>
          <w:shd w:val="clear" w:color="auto" w:fill="FFFFFF"/>
        </w:rPr>
        <w:t>%。主要原因：认真贯彻落实中央“八项规定”精神和厉行节约的要求，从严控制“三公”经费开支。</w:t>
      </w:r>
    </w:p>
    <w:p>
      <w:pPr>
        <w:spacing w:line="560" w:lineRule="exact"/>
        <w:ind w:firstLine="680" w:firstLineChars="200"/>
        <w:rPr>
          <w:rFonts w:ascii="黑体" w:hAnsi="黑体" w:eastAsia="黑体" w:cs="Times New Roman"/>
          <w:shd w:val="clear" w:color="auto" w:fill="FFFFFF"/>
        </w:rPr>
      </w:pPr>
      <w:r>
        <w:rPr>
          <w:rFonts w:ascii="黑体" w:hAnsi="黑体" w:eastAsia="黑体" w:cs="Times New Roman"/>
          <w:shd w:val="clear" w:color="auto" w:fill="FFFFFF"/>
        </w:rPr>
        <w:t>五、关于中共海南省委组织部20</w:t>
      </w:r>
      <w:r>
        <w:rPr>
          <w:rFonts w:hint="eastAsia" w:ascii="黑体" w:hAnsi="黑体" w:eastAsia="黑体" w:cs="Times New Roman"/>
          <w:shd w:val="clear" w:color="auto" w:fill="FFFFFF"/>
        </w:rPr>
        <w:t>22</w:t>
      </w:r>
      <w:r>
        <w:rPr>
          <w:rFonts w:ascii="黑体" w:hAnsi="黑体" w:eastAsia="黑体" w:cs="Times New Roman"/>
          <w:shd w:val="clear" w:color="auto" w:fill="FFFFFF"/>
        </w:rPr>
        <w:t>年政府性基金预算当年拨款情况说明</w:t>
      </w:r>
    </w:p>
    <w:p>
      <w:pPr>
        <w:ind w:firstLine="680" w:firstLineChars="200"/>
        <w:rPr>
          <w:rFonts w:hint="eastAsia" w:ascii="仿宋_GB2312" w:hAnsi="Times New Roman" w:eastAsia="仿宋_GB2312" w:cs="Times New Roman"/>
          <w:szCs w:val="32"/>
          <w:lang w:eastAsia="zh-CN"/>
        </w:rPr>
      </w:pPr>
      <w:r>
        <w:rPr>
          <w:rFonts w:hint="eastAsia" w:ascii="仿宋_GB2312" w:hAnsi="Times New Roman" w:cs="Times New Roman"/>
          <w:szCs w:val="32"/>
        </w:rPr>
        <w:t>中共海南省委组织部2022年无政府性基金预算</w:t>
      </w:r>
      <w:r>
        <w:rPr>
          <w:rFonts w:hint="eastAsia" w:ascii="仿宋_GB2312" w:hAnsi="Times New Roman" w:cs="Times New Roman"/>
          <w:szCs w:val="32"/>
          <w:lang w:eastAsia="zh-CN"/>
        </w:rPr>
        <w:t>，</w:t>
      </w:r>
      <w:r>
        <w:rPr>
          <w:rFonts w:hint="eastAsia" w:ascii="仿宋_GB2312" w:hAnsi="黑体" w:eastAsia="仿宋_GB2312"/>
          <w:sz w:val="32"/>
          <w:szCs w:val="32"/>
          <w:lang w:eastAsia="zh-CN"/>
        </w:rPr>
        <w:t>与上年度预算数保持一致。</w:t>
      </w:r>
      <w:bookmarkStart w:id="0" w:name="_GoBack"/>
      <w:bookmarkEnd w:id="0"/>
    </w:p>
    <w:p>
      <w:pPr>
        <w:spacing w:line="560" w:lineRule="exact"/>
        <w:ind w:firstLine="680" w:firstLineChars="200"/>
        <w:rPr>
          <w:rFonts w:ascii="黑体" w:hAnsi="黑体" w:eastAsia="黑体" w:cs="Times New Roman"/>
          <w:shd w:val="clear" w:color="auto" w:fill="FFFFFF"/>
        </w:rPr>
      </w:pPr>
      <w:r>
        <w:rPr>
          <w:rFonts w:ascii="黑体" w:hAnsi="黑体" w:eastAsia="黑体" w:cs="Times New Roman"/>
          <w:shd w:val="clear" w:color="auto" w:fill="FFFFFF"/>
        </w:rPr>
        <w:t>六、关于中共海南省委组织部20</w:t>
      </w:r>
      <w:r>
        <w:rPr>
          <w:rFonts w:hint="eastAsia" w:ascii="黑体" w:hAnsi="黑体" w:eastAsia="黑体" w:cs="Times New Roman"/>
          <w:shd w:val="clear" w:color="auto" w:fill="FFFFFF"/>
        </w:rPr>
        <w:t>22</w:t>
      </w:r>
      <w:r>
        <w:rPr>
          <w:rFonts w:ascii="黑体" w:hAnsi="黑体" w:eastAsia="黑体" w:cs="Times New Roman"/>
          <w:shd w:val="clear" w:color="auto" w:fill="FFFFFF"/>
        </w:rPr>
        <w:t>年收支预算情况的总体说明</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按照综合预算原则，中共海南省委组织部所有收入和支出均纳入部门预算管理。收入包括：一般公共预算收入、其他收入；支出包括：一般公共服务支出、教育支出、社会保障和就业支出、医疗卫生与计划生育支出、住房保障支出。中共海南省委组织部2022年收支总预算13,449.81万元。</w:t>
      </w:r>
    </w:p>
    <w:p>
      <w:pPr>
        <w:spacing w:line="560" w:lineRule="exact"/>
        <w:ind w:firstLine="680" w:firstLineChars="200"/>
        <w:rPr>
          <w:rFonts w:ascii="黑体" w:hAnsi="黑体" w:eastAsia="黑体" w:cs="Times New Roman"/>
          <w:w w:val="99"/>
          <w:shd w:val="clear" w:color="auto" w:fill="FFFFFF"/>
        </w:rPr>
      </w:pPr>
      <w:r>
        <w:rPr>
          <w:rFonts w:ascii="黑体" w:hAnsi="黑体" w:eastAsia="黑体" w:cs="Times New Roman"/>
          <w:shd w:val="clear" w:color="auto" w:fill="FFFFFF"/>
        </w:rPr>
        <w:t>七、</w:t>
      </w:r>
      <w:r>
        <w:rPr>
          <w:rFonts w:ascii="黑体" w:hAnsi="黑体" w:eastAsia="黑体" w:cs="Times New Roman"/>
          <w:w w:val="99"/>
          <w:shd w:val="clear" w:color="auto" w:fill="FFFFFF"/>
        </w:rPr>
        <w:t>关于中共海南省委组织部20</w:t>
      </w:r>
      <w:r>
        <w:rPr>
          <w:rFonts w:hint="eastAsia" w:ascii="黑体" w:hAnsi="黑体" w:eastAsia="黑体" w:cs="Times New Roman"/>
          <w:w w:val="99"/>
          <w:shd w:val="clear" w:color="auto" w:fill="FFFFFF"/>
        </w:rPr>
        <w:t>22</w:t>
      </w:r>
      <w:r>
        <w:rPr>
          <w:rFonts w:ascii="黑体" w:hAnsi="黑体" w:eastAsia="黑体" w:cs="Times New Roman"/>
          <w:w w:val="99"/>
          <w:shd w:val="clear" w:color="auto" w:fill="FFFFFF"/>
        </w:rPr>
        <w:t>年收入预算情况说明</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中共海南省委组织部2022年收入预算13,449.81万元，其中：上年结转69.38万元，占0.52%；经费拨款收入13,380.43万元，占99.48%。比上年预算数减少341.84万元，主要原因：一是落实过紧日子要求，压减相关经费；二是根据项目的进展情况，部分一次性项目不再编制预算或编制数额较上年度减少。</w:t>
      </w:r>
    </w:p>
    <w:p>
      <w:pPr>
        <w:spacing w:line="560" w:lineRule="exact"/>
        <w:ind w:firstLine="680" w:firstLineChars="200"/>
        <w:rPr>
          <w:rFonts w:ascii="黑体" w:hAnsi="黑体" w:eastAsia="黑体" w:cs="Times New Roman"/>
          <w:w w:val="99"/>
          <w:shd w:val="clear" w:color="auto" w:fill="FFFFFF"/>
        </w:rPr>
      </w:pPr>
      <w:r>
        <w:rPr>
          <w:rFonts w:ascii="黑体" w:hAnsi="黑体" w:eastAsia="黑体" w:cs="Times New Roman"/>
          <w:shd w:val="clear" w:color="auto" w:fill="FFFFFF"/>
        </w:rPr>
        <w:t>八、</w:t>
      </w:r>
      <w:r>
        <w:rPr>
          <w:rFonts w:ascii="黑体" w:hAnsi="黑体" w:eastAsia="黑体" w:cs="Times New Roman"/>
          <w:w w:val="99"/>
          <w:shd w:val="clear" w:color="auto" w:fill="FFFFFF"/>
        </w:rPr>
        <w:t>关于中共海南省委组织部20</w:t>
      </w:r>
      <w:r>
        <w:rPr>
          <w:rFonts w:hint="eastAsia" w:ascii="黑体" w:hAnsi="黑体" w:eastAsia="黑体" w:cs="Times New Roman"/>
          <w:w w:val="99"/>
          <w:shd w:val="clear" w:color="auto" w:fill="FFFFFF"/>
        </w:rPr>
        <w:t>22</w:t>
      </w:r>
      <w:r>
        <w:rPr>
          <w:rFonts w:ascii="黑体" w:hAnsi="黑体" w:eastAsia="黑体" w:cs="Times New Roman"/>
          <w:w w:val="99"/>
          <w:shd w:val="clear" w:color="auto" w:fill="FFFFFF"/>
        </w:rPr>
        <w:t>年支出预算情况说明</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中共海南省委组织部2022年支出预算13,449.81万元，其中：基本支出6,954.82万元，占51.71%；项目支出6,495.00万元，占48.29%。比上年预算数减少341.84万元，主要原因：一是落实过紧日子要求，压减相关经费；二是根据项目的进展情况，部分一次性项目不再编制预算或编制数额较上年度减少。</w:t>
      </w:r>
    </w:p>
    <w:p>
      <w:pPr>
        <w:spacing w:line="560" w:lineRule="exact"/>
        <w:ind w:firstLine="680" w:firstLineChars="200"/>
        <w:rPr>
          <w:rFonts w:ascii="Times New Roman" w:hAnsi="Times New Roman" w:eastAsia="黑体" w:cs="Times New Roman"/>
          <w:shd w:val="clear" w:color="auto" w:fill="FFFFFF"/>
        </w:rPr>
      </w:pPr>
      <w:r>
        <w:rPr>
          <w:rFonts w:ascii="Times New Roman" w:hAnsi="黑体" w:eastAsia="黑体" w:cs="Times New Roman"/>
          <w:shd w:val="clear" w:color="auto" w:fill="FFFFFF"/>
        </w:rPr>
        <w:t>九、其他重要事项的情况说明</w:t>
      </w:r>
    </w:p>
    <w:p>
      <w:pPr>
        <w:spacing w:line="560" w:lineRule="exact"/>
        <w:ind w:firstLine="680" w:firstLineChars="200"/>
        <w:rPr>
          <w:rFonts w:ascii="仿宋_GB2312" w:hAnsi="Times New Roman" w:cs="Times New Roman"/>
          <w:b/>
          <w:szCs w:val="32"/>
        </w:rPr>
      </w:pPr>
      <w:r>
        <w:rPr>
          <w:rFonts w:hint="eastAsia" w:ascii="仿宋_GB2312" w:hAnsi="楷体" w:cs="Times New Roman"/>
          <w:b/>
          <w:szCs w:val="32"/>
        </w:rPr>
        <w:t>（一）机关运行经费</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2022年中共海南省委组织部本级、省委组织部党员教育中心、省委组织部干部信息管理办公室、省老年大学办公室、省老干部活动中心、省老干部休养服务中心、省农垦老干部服务中心等的机关运行经费预算1,188.00万元。</w:t>
      </w:r>
    </w:p>
    <w:p>
      <w:pPr>
        <w:spacing w:line="560" w:lineRule="exact"/>
        <w:ind w:firstLine="680" w:firstLineChars="200"/>
        <w:rPr>
          <w:rFonts w:ascii="仿宋_GB2312" w:hAnsi="Times New Roman" w:cs="Times New Roman"/>
          <w:b/>
          <w:szCs w:val="32"/>
        </w:rPr>
      </w:pPr>
      <w:r>
        <w:rPr>
          <w:rFonts w:hint="eastAsia" w:ascii="仿宋_GB2312" w:hAnsi="楷体" w:cs="Times New Roman"/>
          <w:b/>
          <w:szCs w:val="32"/>
        </w:rPr>
        <w:t>（二）政府采购情况</w:t>
      </w:r>
    </w:p>
    <w:p>
      <w:pPr>
        <w:spacing w:line="560" w:lineRule="exact"/>
        <w:ind w:firstLine="640"/>
        <w:rPr>
          <w:rFonts w:ascii="仿宋_GB2312" w:hAnsi="Times New Roman" w:cs="Times New Roman"/>
          <w:szCs w:val="32"/>
        </w:rPr>
      </w:pPr>
      <w:r>
        <w:rPr>
          <w:rFonts w:hint="eastAsia" w:ascii="仿宋_GB2312" w:hAnsi="Times New Roman" w:cs="Times New Roman"/>
          <w:szCs w:val="32"/>
        </w:rPr>
        <w:t>2022年中共海南省委组织部本级及下属各预算单位政府采购预算总额780.05万元，其中：政府采购货物预算615.78万元，政府采购服务预算164.27万元。</w:t>
      </w:r>
    </w:p>
    <w:p>
      <w:pPr>
        <w:spacing w:line="560" w:lineRule="exact"/>
        <w:ind w:firstLine="680" w:firstLineChars="200"/>
        <w:rPr>
          <w:rFonts w:ascii="仿宋_GB2312" w:hAnsi="Times New Roman" w:cs="Times New Roman"/>
          <w:b/>
          <w:szCs w:val="32"/>
        </w:rPr>
      </w:pPr>
      <w:r>
        <w:rPr>
          <w:rFonts w:hint="eastAsia" w:ascii="仿宋_GB2312" w:hAnsi="楷体" w:cs="Times New Roman"/>
          <w:b/>
          <w:szCs w:val="32"/>
        </w:rPr>
        <w:t>（三）国有资产占有使用情况</w:t>
      </w:r>
    </w:p>
    <w:p>
      <w:pPr>
        <w:spacing w:line="560" w:lineRule="exact"/>
        <w:ind w:firstLine="680" w:firstLineChars="200"/>
        <w:rPr>
          <w:rFonts w:ascii="仿宋_GB2312" w:hAnsi="黑体" w:cs="仿宋_GB2312"/>
          <w:szCs w:val="32"/>
        </w:rPr>
      </w:pPr>
      <w:r>
        <w:rPr>
          <w:rFonts w:hint="eastAsia" w:ascii="仿宋_GB2312" w:hAnsi="Times New Roman" w:cs="Times New Roman"/>
          <w:szCs w:val="32"/>
        </w:rPr>
        <w:t>截至2021年12月31日，中共海南省委组织部本级及下属各预算单位共有车辆30辆，其中，领导干部用车2辆，机要通信应急用车9辆、离退休干部用车18辆、其他用车1辆。</w:t>
      </w:r>
      <w:r>
        <w:rPr>
          <w:rFonts w:hint="eastAsia" w:ascii="仿宋_GB2312" w:hAnsi="黑体" w:cs="仿宋_GB2312"/>
          <w:szCs w:val="32"/>
        </w:rPr>
        <w:t>单位价值100万元以上设备0台（套）。</w:t>
      </w:r>
    </w:p>
    <w:p>
      <w:pPr>
        <w:spacing w:line="560" w:lineRule="exact"/>
        <w:ind w:firstLine="680" w:firstLineChars="200"/>
        <w:rPr>
          <w:rFonts w:ascii="仿宋_GB2312" w:hAnsi="Times New Roman" w:cs="Times New Roman"/>
          <w:b/>
          <w:szCs w:val="32"/>
        </w:rPr>
      </w:pPr>
      <w:r>
        <w:rPr>
          <w:rFonts w:hint="eastAsia" w:ascii="仿宋_GB2312" w:hAnsi="楷体" w:cs="Times New Roman"/>
          <w:b/>
          <w:szCs w:val="32"/>
        </w:rPr>
        <w:t>（四）绩效目标设置情况</w:t>
      </w:r>
    </w:p>
    <w:p>
      <w:pPr>
        <w:spacing w:line="560" w:lineRule="exact"/>
        <w:ind w:firstLine="680" w:firstLineChars="200"/>
        <w:rPr>
          <w:rFonts w:ascii="仿宋_GB2312" w:hAnsi="Times New Roman" w:cs="Times New Roman"/>
          <w:szCs w:val="32"/>
        </w:rPr>
      </w:pPr>
      <w:r>
        <w:rPr>
          <w:rFonts w:hint="eastAsia" w:ascii="仿宋_GB2312" w:hAnsi="Times New Roman" w:cs="Times New Roman"/>
          <w:szCs w:val="32"/>
        </w:rPr>
        <w:t>2022年中共海南省委组织部26个项目实行绩效目标管理，涉及一般公共预算6,495.00万元。其中，重点项目预算绩效情况：非公企业和社会组织基层党建工作项目，预算安排1,560.20万元，主要用于省级非公企业和社会组织的基层党组织发放基层党建工作经费，绩效目标是确保省属两新组织基层党建各项工作顺利开展。</w:t>
      </w:r>
    </w:p>
    <w:p>
      <w:pPr>
        <w:spacing w:line="560" w:lineRule="exact"/>
      </w:pPr>
    </w:p>
    <w:p>
      <w:pPr>
        <w:spacing w:line="560" w:lineRule="exact"/>
      </w:pPr>
    </w:p>
    <w:p>
      <w:pPr>
        <w:spacing w:line="560" w:lineRule="exact"/>
        <w:jc w:val="center"/>
        <w:rPr>
          <w:rFonts w:ascii="Times New Roman" w:hAnsi="黑体" w:eastAsia="黑体" w:cs="Times New Roman"/>
          <w:sz w:val="44"/>
          <w:szCs w:val="44"/>
        </w:rPr>
      </w:pPr>
      <w:r>
        <w:rPr>
          <w:rFonts w:ascii="Times New Roman" w:hAnsi="黑体" w:eastAsia="黑体" w:cs="Times New Roman"/>
          <w:sz w:val="44"/>
          <w:szCs w:val="44"/>
        </w:rPr>
        <w:t>第四部分  名词解释</w:t>
      </w:r>
    </w:p>
    <w:p>
      <w:pPr>
        <w:spacing w:line="560" w:lineRule="exact"/>
      </w:pPr>
    </w:p>
    <w:p>
      <w:pPr>
        <w:spacing w:line="560" w:lineRule="exact"/>
      </w:pPr>
    </w:p>
    <w:p>
      <w:pPr>
        <w:autoSpaceDE w:val="0"/>
        <w:autoSpaceDN w:val="0"/>
        <w:adjustRightInd w:val="0"/>
        <w:spacing w:line="560" w:lineRule="exact"/>
        <w:ind w:firstLine="680" w:firstLineChars="200"/>
        <w:rPr>
          <w:rFonts w:ascii="Times New Roman" w:hAnsi="Times New Roman" w:cs="Times New Roman"/>
          <w:bCs/>
          <w:color w:val="000000"/>
          <w:kern w:val="0"/>
          <w:szCs w:val="32"/>
          <w:lang w:val="zh-CN"/>
        </w:rPr>
      </w:pPr>
      <w:r>
        <w:rPr>
          <w:rFonts w:ascii="Times New Roman" w:hAnsi="Times New Roman" w:cs="Times New Roman"/>
          <w:color w:val="000000"/>
          <w:kern w:val="0"/>
          <w:szCs w:val="32"/>
        </w:rPr>
        <w:t>一、一般公共预算收入：</w:t>
      </w:r>
      <w:r>
        <w:rPr>
          <w:rFonts w:ascii="Times New Roman" w:hAnsi="Times New Roman" w:cs="Times New Roman"/>
          <w:bCs/>
          <w:color w:val="000000"/>
          <w:kern w:val="0"/>
          <w:szCs w:val="32"/>
          <w:lang w:val="zh-CN"/>
        </w:rPr>
        <w:t>指用于反映税收收入、专项收入、行政事业性收费收入、罚没收入、国有资源（资产）有偿使用收入、政府住房基金收入、捐赠收入等财政收入。</w:t>
      </w:r>
    </w:p>
    <w:p>
      <w:pPr>
        <w:spacing w:line="560" w:lineRule="exact"/>
        <w:ind w:firstLine="680" w:firstLineChars="200"/>
        <w:rPr>
          <w:rFonts w:ascii="Times New Roman" w:hAnsi="Times New Roman" w:cs="Times New Roman"/>
          <w:color w:val="000000"/>
          <w:kern w:val="0"/>
          <w:szCs w:val="32"/>
        </w:rPr>
      </w:pPr>
      <w:r>
        <w:rPr>
          <w:rFonts w:ascii="Times New Roman" w:hAnsi="Times New Roman" w:cs="Times New Roman"/>
          <w:color w:val="000000"/>
          <w:kern w:val="0"/>
          <w:szCs w:val="32"/>
        </w:rPr>
        <w:t>二、政府性基金收入：</w:t>
      </w:r>
      <w:r>
        <w:rPr>
          <w:rFonts w:ascii="Times New Roman" w:hAnsi="Times New Roman" w:cs="Times New Roman"/>
          <w:bCs/>
          <w:color w:val="000000"/>
          <w:kern w:val="0"/>
          <w:szCs w:val="32"/>
          <w:lang w:val="zh-CN"/>
        </w:rPr>
        <w:t>指用于反映政府为支持某项事业发展或特定基础设施建设，依法依规向公民、法人和其他组织征收的以及出让土地、发行彩票等方式取得的具有专门用途的资金。</w:t>
      </w:r>
    </w:p>
    <w:p>
      <w:pPr>
        <w:spacing w:line="560" w:lineRule="exact"/>
        <w:ind w:firstLine="680" w:firstLineChars="200"/>
        <w:rPr>
          <w:rFonts w:ascii="Times New Roman" w:hAnsi="Times New Roman" w:cs="Times New Roman"/>
          <w:color w:val="000000"/>
          <w:kern w:val="0"/>
          <w:szCs w:val="32"/>
        </w:rPr>
      </w:pPr>
      <w:r>
        <w:rPr>
          <w:rFonts w:ascii="Times New Roman" w:hAnsi="Times New Roman" w:cs="Times New Roman"/>
          <w:color w:val="000000"/>
          <w:kern w:val="0"/>
          <w:szCs w:val="32"/>
        </w:rPr>
        <w:t>三、其他财政资金收入：</w:t>
      </w:r>
      <w:r>
        <w:rPr>
          <w:rFonts w:ascii="Times New Roman" w:hAnsi="Times New Roman" w:cs="Times New Roman"/>
          <w:bCs/>
          <w:color w:val="000000"/>
          <w:kern w:val="0"/>
          <w:szCs w:val="32"/>
          <w:lang w:val="zh-CN"/>
        </w:rPr>
        <w:t>指用于反映政府为履行职责，依法依规收取、提取和安排使用的未纳入预算管理的除教育收费以外的各种财政性资金。</w:t>
      </w:r>
      <w:r>
        <w:rPr>
          <w:rFonts w:ascii="Times New Roman" w:hAnsi="Times New Roman" w:cs="Times New Roman"/>
          <w:color w:val="000000"/>
          <w:kern w:val="0"/>
          <w:szCs w:val="32"/>
        </w:rPr>
        <w:t xml:space="preserve"> </w:t>
      </w:r>
    </w:p>
    <w:p>
      <w:pPr>
        <w:spacing w:line="560" w:lineRule="exact"/>
        <w:ind w:firstLine="680" w:firstLineChars="200"/>
        <w:rPr>
          <w:rFonts w:ascii="Times New Roman" w:hAnsi="Times New Roman" w:cs="Times New Roman"/>
          <w:color w:val="000000"/>
          <w:kern w:val="0"/>
          <w:szCs w:val="32"/>
        </w:rPr>
      </w:pPr>
      <w:r>
        <w:rPr>
          <w:rFonts w:ascii="Times New Roman" w:hAnsi="Times New Roman" w:cs="Times New Roman"/>
          <w:color w:val="000000"/>
          <w:kern w:val="0"/>
          <w:szCs w:val="32"/>
        </w:rPr>
        <w:t>四、收回存量资金收入：</w:t>
      </w:r>
      <w:r>
        <w:rPr>
          <w:rFonts w:ascii="Times New Roman" w:hAnsi="Times New Roman" w:cs="Times New Roman"/>
          <w:bCs/>
          <w:color w:val="000000"/>
          <w:kern w:val="0"/>
          <w:szCs w:val="32"/>
          <w:lang w:val="zh-CN"/>
        </w:rPr>
        <w:t>指用于反映各级财政部门收回的上缴国库但不列入预算的存量资金，包括收回单位实有账户存量资金、收回国库集中支付结余资金、收回转移支付存量资金和收回财政专户存量资金。</w:t>
      </w:r>
      <w:r>
        <w:rPr>
          <w:rFonts w:ascii="Times New Roman" w:hAnsi="Times New Roman" w:cs="Times New Roman"/>
          <w:color w:val="000000"/>
          <w:kern w:val="0"/>
          <w:szCs w:val="32"/>
          <w:lang w:val="zh-CN"/>
        </w:rPr>
        <w:t>。</w:t>
      </w:r>
      <w:r>
        <w:rPr>
          <w:rFonts w:ascii="Times New Roman" w:hAnsi="Times New Roman" w:cs="Times New Roman"/>
          <w:color w:val="000000"/>
          <w:kern w:val="0"/>
          <w:szCs w:val="32"/>
        </w:rPr>
        <w:t xml:space="preserve"> </w:t>
      </w:r>
    </w:p>
    <w:p>
      <w:pPr>
        <w:spacing w:line="560" w:lineRule="exact"/>
        <w:ind w:firstLine="680" w:firstLineChars="200"/>
        <w:rPr>
          <w:rFonts w:ascii="Times New Roman" w:hAnsi="Times New Roman" w:cs="Times New Roman"/>
          <w:color w:val="000000"/>
          <w:kern w:val="0"/>
          <w:szCs w:val="32"/>
        </w:rPr>
      </w:pPr>
      <w:r>
        <w:rPr>
          <w:rFonts w:ascii="Times New Roman" w:hAnsi="Times New Roman" w:cs="Times New Roman"/>
          <w:color w:val="000000"/>
          <w:kern w:val="0"/>
          <w:szCs w:val="32"/>
        </w:rPr>
        <w:t>五、事业收入：</w:t>
      </w:r>
      <w:r>
        <w:rPr>
          <w:rFonts w:ascii="Times New Roman" w:hAnsi="Times New Roman" w:cs="Times New Roman"/>
          <w:bCs/>
          <w:color w:val="000000"/>
          <w:kern w:val="0"/>
          <w:szCs w:val="32"/>
          <w:lang w:val="zh-CN"/>
        </w:rPr>
        <w:t>指用于反映事业单位开展专业业务活动及辅助活动所取得的收入。</w:t>
      </w:r>
      <w:r>
        <w:rPr>
          <w:rFonts w:ascii="Times New Roman" w:hAnsi="Times New Roman" w:cs="Times New Roman"/>
          <w:color w:val="000000"/>
          <w:kern w:val="0"/>
          <w:szCs w:val="32"/>
        </w:rPr>
        <w:t xml:space="preserve"> </w:t>
      </w:r>
    </w:p>
    <w:p>
      <w:pPr>
        <w:spacing w:line="560" w:lineRule="exact"/>
        <w:ind w:firstLine="680" w:firstLineChars="200"/>
        <w:rPr>
          <w:rFonts w:ascii="Times New Roman" w:hAnsi="Times New Roman" w:cs="Times New Roman"/>
          <w:color w:val="000000"/>
          <w:kern w:val="0"/>
          <w:szCs w:val="32"/>
        </w:rPr>
      </w:pPr>
      <w:r>
        <w:rPr>
          <w:rFonts w:ascii="Times New Roman" w:hAnsi="Times New Roman" w:cs="Times New Roman"/>
          <w:color w:val="000000"/>
          <w:kern w:val="0"/>
          <w:szCs w:val="32"/>
        </w:rPr>
        <w:t>六、</w:t>
      </w:r>
      <w:r>
        <w:rPr>
          <w:rFonts w:ascii="Times New Roman" w:hAnsi="Times New Roman" w:cs="Times New Roman"/>
          <w:szCs w:val="32"/>
        </w:rPr>
        <w:t>事业单位经营收入</w:t>
      </w:r>
      <w:r>
        <w:rPr>
          <w:rFonts w:ascii="Times New Roman" w:hAnsi="Times New Roman" w:cs="Times New Roman"/>
          <w:color w:val="000000"/>
          <w:kern w:val="0"/>
          <w:szCs w:val="32"/>
        </w:rPr>
        <w:t>：</w:t>
      </w:r>
      <w:r>
        <w:rPr>
          <w:rFonts w:ascii="Times New Roman" w:hAnsi="Times New Roman" w:cs="Times New Roman"/>
          <w:bCs/>
          <w:color w:val="000000"/>
          <w:kern w:val="0"/>
          <w:szCs w:val="32"/>
          <w:lang w:val="zh-CN"/>
        </w:rPr>
        <w:t>指用于反映事业单位在专业活动及辅助活动之外开展非独立核算经营活动取得的收入。</w:t>
      </w:r>
    </w:p>
    <w:p>
      <w:pPr>
        <w:spacing w:line="560" w:lineRule="exact"/>
        <w:ind w:firstLine="680" w:firstLineChars="200"/>
        <w:rPr>
          <w:rFonts w:ascii="Times New Roman" w:hAnsi="Times New Roman" w:cs="Times New Roman"/>
          <w:color w:val="000000"/>
          <w:kern w:val="0"/>
          <w:szCs w:val="32"/>
        </w:rPr>
      </w:pPr>
      <w:r>
        <w:rPr>
          <w:rFonts w:ascii="Times New Roman" w:hAnsi="Times New Roman" w:cs="Times New Roman"/>
          <w:color w:val="000000"/>
          <w:kern w:val="0"/>
          <w:szCs w:val="32"/>
        </w:rPr>
        <w:t>七、其他收入：</w:t>
      </w:r>
      <w:r>
        <w:rPr>
          <w:rFonts w:ascii="Times New Roman" w:hAnsi="Times New Roman" w:cs="Times New Roman"/>
          <w:bCs/>
          <w:color w:val="000000"/>
          <w:kern w:val="0"/>
          <w:szCs w:val="32"/>
          <w:lang w:val="zh-CN"/>
        </w:rPr>
        <w:t>指用于反映除上述一般公共预算收入、政府性基金收入、其他财政性资金收入、收回存量资金收入、事业收入、事业单位经营收入和往来收入以外的收入。</w:t>
      </w:r>
    </w:p>
    <w:p>
      <w:pPr>
        <w:autoSpaceDE w:val="0"/>
        <w:autoSpaceDN w:val="0"/>
        <w:adjustRightInd w:val="0"/>
        <w:spacing w:line="560" w:lineRule="exact"/>
        <w:ind w:firstLine="680" w:firstLineChars="200"/>
        <w:rPr>
          <w:rFonts w:ascii="Times New Roman" w:hAnsi="Times New Roman" w:cs="Times New Roman"/>
          <w:bCs/>
          <w:color w:val="000000"/>
          <w:kern w:val="0"/>
          <w:szCs w:val="32"/>
          <w:lang w:val="zh-CN"/>
        </w:rPr>
      </w:pPr>
      <w:r>
        <w:rPr>
          <w:rFonts w:ascii="Times New Roman" w:hAnsi="Times New Roman" w:cs="Times New Roman"/>
          <w:color w:val="000000"/>
          <w:kern w:val="0"/>
          <w:szCs w:val="32"/>
        </w:rPr>
        <w:t>八、</w:t>
      </w:r>
      <w:r>
        <w:rPr>
          <w:rFonts w:ascii="Times New Roman" w:hAnsi="Times New Roman" w:cs="Times New Roman"/>
          <w:szCs w:val="32"/>
        </w:rPr>
        <w:t>用事业基金弥补收支差额</w:t>
      </w:r>
      <w:r>
        <w:rPr>
          <w:rFonts w:ascii="Times New Roman" w:hAnsi="Times New Roman" w:cs="Times New Roman"/>
          <w:color w:val="000000"/>
          <w:kern w:val="0"/>
          <w:szCs w:val="32"/>
        </w:rPr>
        <w:t>：</w:t>
      </w:r>
      <w:r>
        <w:rPr>
          <w:rFonts w:ascii="Times New Roman" w:hAnsi="Times New Roman" w:cs="Times New Roman"/>
          <w:bCs/>
          <w:color w:val="000000"/>
          <w:kern w:val="0"/>
          <w:szCs w:val="32"/>
          <w:lang w:val="zh-CN"/>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autoSpaceDE w:val="0"/>
        <w:autoSpaceDN w:val="0"/>
        <w:adjustRightInd w:val="0"/>
        <w:spacing w:line="560" w:lineRule="exact"/>
        <w:ind w:firstLine="680" w:firstLineChars="200"/>
        <w:rPr>
          <w:rFonts w:ascii="Times New Roman" w:hAnsi="Times New Roman" w:cs="Times New Roman"/>
          <w:bCs/>
          <w:color w:val="000000"/>
          <w:kern w:val="0"/>
          <w:szCs w:val="32"/>
          <w:lang w:val="zh-CN"/>
        </w:rPr>
      </w:pPr>
      <w:r>
        <w:rPr>
          <w:rFonts w:ascii="Times New Roman" w:hAnsi="Times New Roman" w:cs="Times New Roman"/>
          <w:color w:val="000000"/>
          <w:kern w:val="0"/>
          <w:szCs w:val="32"/>
        </w:rPr>
        <w:t>九、</w:t>
      </w:r>
      <w:r>
        <w:rPr>
          <w:rFonts w:ascii="Times New Roman" w:hAnsi="Times New Roman" w:cs="Times New Roman"/>
          <w:szCs w:val="32"/>
        </w:rPr>
        <w:t>上年结转结余收入</w:t>
      </w:r>
      <w:r>
        <w:rPr>
          <w:rFonts w:ascii="Times New Roman" w:hAnsi="Times New Roman" w:cs="Times New Roman"/>
          <w:color w:val="000000"/>
          <w:kern w:val="0"/>
          <w:szCs w:val="32"/>
        </w:rPr>
        <w:t>：</w:t>
      </w:r>
      <w:r>
        <w:rPr>
          <w:rFonts w:ascii="Times New Roman" w:hAnsi="Times New Roman" w:cs="Times New Roman"/>
          <w:bCs/>
          <w:color w:val="000000"/>
          <w:kern w:val="0"/>
          <w:szCs w:val="32"/>
          <w:lang w:val="zh-CN"/>
        </w:rPr>
        <w:t>指用于反映以前年度尚未完成、结转到本年仍按规定用途继续使用的资金等。</w:t>
      </w:r>
    </w:p>
    <w:p>
      <w:pPr>
        <w:spacing w:line="560" w:lineRule="exact"/>
        <w:ind w:firstLine="680" w:firstLineChars="200"/>
        <w:rPr>
          <w:rFonts w:ascii="Times New Roman" w:hAnsi="Times New Roman" w:cs="Times New Roman"/>
          <w:color w:val="000000"/>
          <w:kern w:val="0"/>
          <w:szCs w:val="30"/>
        </w:rPr>
      </w:pPr>
      <w:r>
        <w:rPr>
          <w:rFonts w:ascii="Times New Roman" w:hAnsi="Times New Roman" w:cs="Times New Roman"/>
          <w:color w:val="000000"/>
          <w:kern w:val="0"/>
          <w:szCs w:val="30"/>
        </w:rPr>
        <w:t>十、一般公共服务（类）××事务（款）行政运行（项）：指××用于保障机构正常运行、开展日常工作的基本支出。</w:t>
      </w:r>
    </w:p>
    <w:p>
      <w:pPr>
        <w:spacing w:line="560" w:lineRule="exact"/>
        <w:ind w:firstLine="680" w:firstLineChars="200"/>
        <w:rPr>
          <w:rFonts w:ascii="Times New Roman" w:hAnsi="Times New Roman" w:cs="Times New Roman"/>
          <w:color w:val="000000"/>
          <w:kern w:val="0"/>
          <w:szCs w:val="30"/>
        </w:rPr>
      </w:pPr>
      <w:r>
        <w:rPr>
          <w:rFonts w:ascii="Times New Roman" w:hAnsi="Times New Roman" w:cs="Times New Roman"/>
          <w:color w:val="000000"/>
          <w:kern w:val="0"/>
          <w:szCs w:val="30"/>
        </w:rPr>
        <w:t>十一、一般公共服务（类）××事务（款）一般行政管理事务（项）：指用于××等未单独设置项级科目的项目支出。</w:t>
      </w:r>
    </w:p>
    <w:p>
      <w:pPr>
        <w:spacing w:line="560" w:lineRule="exact"/>
        <w:ind w:firstLine="680" w:firstLineChars="200"/>
        <w:rPr>
          <w:rFonts w:ascii="Times New Roman" w:hAnsi="Times New Roman" w:cs="Times New Roman"/>
          <w:color w:val="000000"/>
          <w:kern w:val="0"/>
          <w:szCs w:val="30"/>
        </w:rPr>
      </w:pPr>
      <w:r>
        <w:rPr>
          <w:rFonts w:ascii="Times New Roman" w:hAnsi="Times New Roman" w:cs="Times New Roman"/>
          <w:color w:val="000000"/>
          <w:kern w:val="0"/>
          <w:szCs w:val="30"/>
        </w:rPr>
        <w:t>十二、基本支出：指行政事业单位用于为保障其机构正常运转、完成日常工作任务而发生的人员支出和公用支出。</w:t>
      </w:r>
    </w:p>
    <w:p>
      <w:pPr>
        <w:spacing w:line="560" w:lineRule="exact"/>
        <w:ind w:firstLine="680" w:firstLineChars="200"/>
        <w:rPr>
          <w:rFonts w:ascii="Times New Roman" w:hAnsi="Times New Roman" w:cs="Times New Roman"/>
          <w:color w:val="000000"/>
          <w:kern w:val="0"/>
          <w:szCs w:val="30"/>
        </w:rPr>
      </w:pPr>
      <w:r>
        <w:rPr>
          <w:rFonts w:ascii="Times New Roman" w:hAnsi="Times New Roman" w:cs="Times New Roman"/>
          <w:color w:val="000000"/>
          <w:kern w:val="0"/>
          <w:szCs w:val="30"/>
        </w:rPr>
        <w:t>十三、项目支出：指在基本支出之外为完成特定的行政工作任务或事业发展目标所发生的支出。</w:t>
      </w:r>
    </w:p>
    <w:p>
      <w:pPr>
        <w:spacing w:line="560" w:lineRule="exact"/>
        <w:ind w:firstLine="680" w:firstLineChars="200"/>
        <w:rPr>
          <w:rFonts w:ascii="Times New Roman" w:hAnsi="Times New Roman" w:cs="Times New Roman"/>
          <w:color w:val="000000"/>
          <w:kern w:val="0"/>
          <w:szCs w:val="30"/>
        </w:rPr>
      </w:pPr>
      <w:r>
        <w:rPr>
          <w:rFonts w:ascii="Times New Roman" w:hAnsi="Times New Roman" w:cs="Times New Roman"/>
          <w:color w:val="000000"/>
          <w:kern w:val="0"/>
          <w:szCs w:val="30"/>
        </w:rPr>
        <w:t>十四、“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spacing w:line="560" w:lineRule="exact"/>
        <w:ind w:firstLine="680" w:firstLineChars="200"/>
        <w:rPr>
          <w:rFonts w:ascii="Times New Roman" w:hAnsi="Times New Roman" w:cs="Times New Roman"/>
          <w:szCs w:val="32"/>
        </w:rPr>
      </w:pPr>
      <w:r>
        <w:rPr>
          <w:rFonts w:ascii="Times New Roman" w:hAnsi="Times New Roman" w:cs="Times New Roman"/>
          <w:color w:val="000000"/>
          <w:kern w:val="0"/>
          <w:szCs w:val="30"/>
        </w:rPr>
        <w:t>十五、机关运行经费：包括办公及印刷费、邮电费、差旅费、会议费、福利费、日常维修费、专用材料及一般设备购置费、办公用房水电费、办公用房取暖费、办公用房物业管理费、公务用车运行维护费以及其他费用。</w:t>
      </w:r>
    </w:p>
    <w:sectPr>
      <w:footerReference r:id="rId4" w:type="default"/>
      <w:pgSz w:w="11906" w:h="16838"/>
      <w:pgMar w:top="2041" w:right="1474" w:bottom="2041" w:left="1474" w:header="851" w:footer="1418" w:gutter="0"/>
      <w:pgNumType w:start="1"/>
      <w:cols w:space="425" w:num="1"/>
      <w:docGrid w:type="linesAndChars" w:linePitch="572" w:charSpace="412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406038"/>
      <w:docPartObj>
        <w:docPartGallery w:val="AutoText"/>
      </w:docPartObj>
    </w:sdtPr>
    <w:sdtEndPr>
      <w:rPr>
        <w:sz w:val="24"/>
        <w:szCs w:val="24"/>
      </w:rPr>
    </w:sdtEndPr>
    <w:sdtContent>
      <w:p>
        <w:pPr>
          <w:pStyle w:val="3"/>
          <w:jc w:val="center"/>
          <w:rPr>
            <w:sz w:val="24"/>
            <w:szCs w:val="24"/>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9525"/>
      <w:docPartObj>
        <w:docPartGallery w:val="AutoText"/>
      </w:docPartObj>
    </w:sdtPr>
    <w:sdtEndPr>
      <w:rPr>
        <w:sz w:val="24"/>
        <w:szCs w:val="24"/>
      </w:rPr>
    </w:sdtEndPr>
    <w:sdtContent>
      <w:p>
        <w:pPr>
          <w:pStyle w:val="3"/>
          <w:jc w:val="center"/>
          <w:rPr>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6</w:t>
        </w:r>
        <w:r>
          <w:rPr>
            <w:rFonts w:ascii="Times New Roman" w:hAnsi="Times New Roman" w:cs="Times New Roman"/>
            <w:sz w:val="24"/>
            <w:szCs w:val="24"/>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2AE61F1"/>
    <w:multiLevelType w:val="multilevel"/>
    <w:tmpl w:val="12AE61F1"/>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eastAsia" w:ascii="仿宋_GB2312" w:eastAsia="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70"/>
  <w:drawingGridVerticalSpacing w:val="28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91B44"/>
    <w:rsid w:val="00001B58"/>
    <w:rsid w:val="00002D93"/>
    <w:rsid w:val="00003088"/>
    <w:rsid w:val="00004042"/>
    <w:rsid w:val="000062C8"/>
    <w:rsid w:val="00006853"/>
    <w:rsid w:val="000076C1"/>
    <w:rsid w:val="00007D6B"/>
    <w:rsid w:val="000113B0"/>
    <w:rsid w:val="00011B9A"/>
    <w:rsid w:val="00014D1B"/>
    <w:rsid w:val="000273D6"/>
    <w:rsid w:val="0003299A"/>
    <w:rsid w:val="00035DC1"/>
    <w:rsid w:val="00037499"/>
    <w:rsid w:val="0004058D"/>
    <w:rsid w:val="00040772"/>
    <w:rsid w:val="000417EE"/>
    <w:rsid w:val="00043249"/>
    <w:rsid w:val="0004359E"/>
    <w:rsid w:val="00045501"/>
    <w:rsid w:val="00053189"/>
    <w:rsid w:val="0005336C"/>
    <w:rsid w:val="00055750"/>
    <w:rsid w:val="000558CE"/>
    <w:rsid w:val="00055FD2"/>
    <w:rsid w:val="00057A18"/>
    <w:rsid w:val="00062682"/>
    <w:rsid w:val="000631C2"/>
    <w:rsid w:val="00067877"/>
    <w:rsid w:val="0007570C"/>
    <w:rsid w:val="00075A39"/>
    <w:rsid w:val="0007601F"/>
    <w:rsid w:val="000828A1"/>
    <w:rsid w:val="00082910"/>
    <w:rsid w:val="00083052"/>
    <w:rsid w:val="000830AA"/>
    <w:rsid w:val="000849D5"/>
    <w:rsid w:val="0008577A"/>
    <w:rsid w:val="0008656E"/>
    <w:rsid w:val="00090A1C"/>
    <w:rsid w:val="00097C89"/>
    <w:rsid w:val="000A2588"/>
    <w:rsid w:val="000A3C4B"/>
    <w:rsid w:val="000A7415"/>
    <w:rsid w:val="000B08D0"/>
    <w:rsid w:val="000B2B77"/>
    <w:rsid w:val="000B57A4"/>
    <w:rsid w:val="000B58F3"/>
    <w:rsid w:val="000B6E12"/>
    <w:rsid w:val="000C1CB2"/>
    <w:rsid w:val="000D1E09"/>
    <w:rsid w:val="000D5250"/>
    <w:rsid w:val="000D5AD7"/>
    <w:rsid w:val="000D5E0F"/>
    <w:rsid w:val="000E3B40"/>
    <w:rsid w:val="000E6FF6"/>
    <w:rsid w:val="000F0111"/>
    <w:rsid w:val="000F489B"/>
    <w:rsid w:val="001069A8"/>
    <w:rsid w:val="00111947"/>
    <w:rsid w:val="001142E6"/>
    <w:rsid w:val="00116999"/>
    <w:rsid w:val="00121BC1"/>
    <w:rsid w:val="00125F79"/>
    <w:rsid w:val="00127D30"/>
    <w:rsid w:val="0013021A"/>
    <w:rsid w:val="001326C1"/>
    <w:rsid w:val="00135797"/>
    <w:rsid w:val="0013747A"/>
    <w:rsid w:val="00146076"/>
    <w:rsid w:val="00147C38"/>
    <w:rsid w:val="001502DD"/>
    <w:rsid w:val="00152305"/>
    <w:rsid w:val="0015562B"/>
    <w:rsid w:val="00162852"/>
    <w:rsid w:val="00165CEE"/>
    <w:rsid w:val="00165E48"/>
    <w:rsid w:val="0016651B"/>
    <w:rsid w:val="00167006"/>
    <w:rsid w:val="001705D2"/>
    <w:rsid w:val="00173923"/>
    <w:rsid w:val="00173B57"/>
    <w:rsid w:val="0017414E"/>
    <w:rsid w:val="00185BDA"/>
    <w:rsid w:val="00187C7E"/>
    <w:rsid w:val="00194891"/>
    <w:rsid w:val="00194C1E"/>
    <w:rsid w:val="0019566A"/>
    <w:rsid w:val="00195701"/>
    <w:rsid w:val="00196A45"/>
    <w:rsid w:val="001A171E"/>
    <w:rsid w:val="001A2683"/>
    <w:rsid w:val="001A2DE3"/>
    <w:rsid w:val="001A3E41"/>
    <w:rsid w:val="001A71F3"/>
    <w:rsid w:val="001A7974"/>
    <w:rsid w:val="001B1866"/>
    <w:rsid w:val="001B25E2"/>
    <w:rsid w:val="001B48ED"/>
    <w:rsid w:val="001B656F"/>
    <w:rsid w:val="001C18A2"/>
    <w:rsid w:val="001C1DD1"/>
    <w:rsid w:val="001C5290"/>
    <w:rsid w:val="001C7BC2"/>
    <w:rsid w:val="001D1C75"/>
    <w:rsid w:val="001E1717"/>
    <w:rsid w:val="001E2129"/>
    <w:rsid w:val="001E4385"/>
    <w:rsid w:val="001E4883"/>
    <w:rsid w:val="001E78DB"/>
    <w:rsid w:val="001E7B94"/>
    <w:rsid w:val="001E7E61"/>
    <w:rsid w:val="001F150B"/>
    <w:rsid w:val="001F1ECE"/>
    <w:rsid w:val="001F3869"/>
    <w:rsid w:val="001F5D89"/>
    <w:rsid w:val="0020035B"/>
    <w:rsid w:val="00202945"/>
    <w:rsid w:val="00206099"/>
    <w:rsid w:val="002071A5"/>
    <w:rsid w:val="0021108C"/>
    <w:rsid w:val="002204F0"/>
    <w:rsid w:val="00221294"/>
    <w:rsid w:val="00221C23"/>
    <w:rsid w:val="00224176"/>
    <w:rsid w:val="00224F36"/>
    <w:rsid w:val="0022748E"/>
    <w:rsid w:val="0023143C"/>
    <w:rsid w:val="00231E7A"/>
    <w:rsid w:val="002327EF"/>
    <w:rsid w:val="00232B95"/>
    <w:rsid w:val="00233ADC"/>
    <w:rsid w:val="00233B98"/>
    <w:rsid w:val="0023610E"/>
    <w:rsid w:val="00240C21"/>
    <w:rsid w:val="002417E0"/>
    <w:rsid w:val="00247102"/>
    <w:rsid w:val="00252550"/>
    <w:rsid w:val="002530AD"/>
    <w:rsid w:val="0025332F"/>
    <w:rsid w:val="00256376"/>
    <w:rsid w:val="00260866"/>
    <w:rsid w:val="00261099"/>
    <w:rsid w:val="00261822"/>
    <w:rsid w:val="00263CEF"/>
    <w:rsid w:val="0026682F"/>
    <w:rsid w:val="00267DE4"/>
    <w:rsid w:val="00271229"/>
    <w:rsid w:val="002729A7"/>
    <w:rsid w:val="002738CB"/>
    <w:rsid w:val="00275FBE"/>
    <w:rsid w:val="002771A6"/>
    <w:rsid w:val="00282748"/>
    <w:rsid w:val="002847CB"/>
    <w:rsid w:val="00285DE5"/>
    <w:rsid w:val="002867C8"/>
    <w:rsid w:val="00292BB4"/>
    <w:rsid w:val="00293316"/>
    <w:rsid w:val="0029565B"/>
    <w:rsid w:val="002956BC"/>
    <w:rsid w:val="002A2864"/>
    <w:rsid w:val="002A3CFA"/>
    <w:rsid w:val="002A5750"/>
    <w:rsid w:val="002A59FA"/>
    <w:rsid w:val="002A6060"/>
    <w:rsid w:val="002A6B27"/>
    <w:rsid w:val="002A6CE0"/>
    <w:rsid w:val="002A6EFE"/>
    <w:rsid w:val="002B0ADF"/>
    <w:rsid w:val="002B0F94"/>
    <w:rsid w:val="002B4D72"/>
    <w:rsid w:val="002C0264"/>
    <w:rsid w:val="002C2C3B"/>
    <w:rsid w:val="002C7EE8"/>
    <w:rsid w:val="002D0FD3"/>
    <w:rsid w:val="002D1873"/>
    <w:rsid w:val="002D2DE8"/>
    <w:rsid w:val="002D3699"/>
    <w:rsid w:val="002D3EE8"/>
    <w:rsid w:val="002D5281"/>
    <w:rsid w:val="002E0E45"/>
    <w:rsid w:val="002E3F87"/>
    <w:rsid w:val="002E4349"/>
    <w:rsid w:val="002E4E1D"/>
    <w:rsid w:val="002E656F"/>
    <w:rsid w:val="002E72F8"/>
    <w:rsid w:val="002E73B0"/>
    <w:rsid w:val="002F0C09"/>
    <w:rsid w:val="002F1FA4"/>
    <w:rsid w:val="002F3241"/>
    <w:rsid w:val="002F339C"/>
    <w:rsid w:val="002F67E0"/>
    <w:rsid w:val="00302180"/>
    <w:rsid w:val="00310BEB"/>
    <w:rsid w:val="00311CDB"/>
    <w:rsid w:val="00313D9C"/>
    <w:rsid w:val="003144ED"/>
    <w:rsid w:val="00321827"/>
    <w:rsid w:val="00333300"/>
    <w:rsid w:val="00333D23"/>
    <w:rsid w:val="00336054"/>
    <w:rsid w:val="00336398"/>
    <w:rsid w:val="0033751D"/>
    <w:rsid w:val="003415BA"/>
    <w:rsid w:val="00342349"/>
    <w:rsid w:val="00343609"/>
    <w:rsid w:val="00343A84"/>
    <w:rsid w:val="003448CB"/>
    <w:rsid w:val="00345AFC"/>
    <w:rsid w:val="00347F22"/>
    <w:rsid w:val="00351AA3"/>
    <w:rsid w:val="003536B6"/>
    <w:rsid w:val="003555E5"/>
    <w:rsid w:val="0036156C"/>
    <w:rsid w:val="00362570"/>
    <w:rsid w:val="0036456D"/>
    <w:rsid w:val="00370597"/>
    <w:rsid w:val="00371DDB"/>
    <w:rsid w:val="00372FD0"/>
    <w:rsid w:val="003734DB"/>
    <w:rsid w:val="00374576"/>
    <w:rsid w:val="003756F6"/>
    <w:rsid w:val="00375F22"/>
    <w:rsid w:val="00383706"/>
    <w:rsid w:val="003847B6"/>
    <w:rsid w:val="00384EFD"/>
    <w:rsid w:val="0038520A"/>
    <w:rsid w:val="00386F44"/>
    <w:rsid w:val="00394A8F"/>
    <w:rsid w:val="00395647"/>
    <w:rsid w:val="0039654A"/>
    <w:rsid w:val="003A2351"/>
    <w:rsid w:val="003A2382"/>
    <w:rsid w:val="003A5B14"/>
    <w:rsid w:val="003A65EE"/>
    <w:rsid w:val="003B1B0F"/>
    <w:rsid w:val="003B2792"/>
    <w:rsid w:val="003B2C6A"/>
    <w:rsid w:val="003B2F25"/>
    <w:rsid w:val="003B3935"/>
    <w:rsid w:val="003B6531"/>
    <w:rsid w:val="003C15E4"/>
    <w:rsid w:val="003C2496"/>
    <w:rsid w:val="003C3A6E"/>
    <w:rsid w:val="003D35F6"/>
    <w:rsid w:val="003D615A"/>
    <w:rsid w:val="003D6354"/>
    <w:rsid w:val="003E43C8"/>
    <w:rsid w:val="003E5682"/>
    <w:rsid w:val="003E71EC"/>
    <w:rsid w:val="003F135D"/>
    <w:rsid w:val="003F48F7"/>
    <w:rsid w:val="003F6678"/>
    <w:rsid w:val="003F6748"/>
    <w:rsid w:val="004014C1"/>
    <w:rsid w:val="00407C04"/>
    <w:rsid w:val="004119A3"/>
    <w:rsid w:val="00412175"/>
    <w:rsid w:val="004153D7"/>
    <w:rsid w:val="00415654"/>
    <w:rsid w:val="00417E71"/>
    <w:rsid w:val="00422BA3"/>
    <w:rsid w:val="00423C95"/>
    <w:rsid w:val="0042419F"/>
    <w:rsid w:val="00424BDD"/>
    <w:rsid w:val="00425153"/>
    <w:rsid w:val="0042527E"/>
    <w:rsid w:val="00426018"/>
    <w:rsid w:val="0042607C"/>
    <w:rsid w:val="00427E71"/>
    <w:rsid w:val="00430624"/>
    <w:rsid w:val="00430C6C"/>
    <w:rsid w:val="00430D51"/>
    <w:rsid w:val="004342EE"/>
    <w:rsid w:val="00445347"/>
    <w:rsid w:val="004462A3"/>
    <w:rsid w:val="004522A5"/>
    <w:rsid w:val="00452F14"/>
    <w:rsid w:val="00453A26"/>
    <w:rsid w:val="00453B7D"/>
    <w:rsid w:val="0045437B"/>
    <w:rsid w:val="00454482"/>
    <w:rsid w:val="004611CC"/>
    <w:rsid w:val="00462641"/>
    <w:rsid w:val="00462D67"/>
    <w:rsid w:val="004630D5"/>
    <w:rsid w:val="00471005"/>
    <w:rsid w:val="004720B1"/>
    <w:rsid w:val="00474F12"/>
    <w:rsid w:val="0047541C"/>
    <w:rsid w:val="004810D7"/>
    <w:rsid w:val="0048444F"/>
    <w:rsid w:val="00484AB2"/>
    <w:rsid w:val="00486ADB"/>
    <w:rsid w:val="004937FD"/>
    <w:rsid w:val="00495094"/>
    <w:rsid w:val="004979E2"/>
    <w:rsid w:val="004A3AE5"/>
    <w:rsid w:val="004A499A"/>
    <w:rsid w:val="004A5489"/>
    <w:rsid w:val="004B0854"/>
    <w:rsid w:val="004B1C0C"/>
    <w:rsid w:val="004B5AD4"/>
    <w:rsid w:val="004B6274"/>
    <w:rsid w:val="004B6E37"/>
    <w:rsid w:val="004C3319"/>
    <w:rsid w:val="004C398A"/>
    <w:rsid w:val="004C5F49"/>
    <w:rsid w:val="004D2D07"/>
    <w:rsid w:val="004D30DA"/>
    <w:rsid w:val="004D7003"/>
    <w:rsid w:val="004E100D"/>
    <w:rsid w:val="004F1371"/>
    <w:rsid w:val="004F1666"/>
    <w:rsid w:val="004F2211"/>
    <w:rsid w:val="00502AEB"/>
    <w:rsid w:val="00506C95"/>
    <w:rsid w:val="005104E3"/>
    <w:rsid w:val="005112A5"/>
    <w:rsid w:val="00512D12"/>
    <w:rsid w:val="00515945"/>
    <w:rsid w:val="005160EC"/>
    <w:rsid w:val="005177FB"/>
    <w:rsid w:val="00517CEB"/>
    <w:rsid w:val="00517F4D"/>
    <w:rsid w:val="00522E7C"/>
    <w:rsid w:val="00523484"/>
    <w:rsid w:val="005239CF"/>
    <w:rsid w:val="005246F8"/>
    <w:rsid w:val="00524E04"/>
    <w:rsid w:val="00525863"/>
    <w:rsid w:val="0052643F"/>
    <w:rsid w:val="00530263"/>
    <w:rsid w:val="00532491"/>
    <w:rsid w:val="0053503A"/>
    <w:rsid w:val="0053640C"/>
    <w:rsid w:val="00536614"/>
    <w:rsid w:val="0053713E"/>
    <w:rsid w:val="005376C7"/>
    <w:rsid w:val="00541337"/>
    <w:rsid w:val="005518E1"/>
    <w:rsid w:val="00552532"/>
    <w:rsid w:val="005555C9"/>
    <w:rsid w:val="00565A36"/>
    <w:rsid w:val="005714E0"/>
    <w:rsid w:val="005717AA"/>
    <w:rsid w:val="00572301"/>
    <w:rsid w:val="00572D0C"/>
    <w:rsid w:val="005761A8"/>
    <w:rsid w:val="00577CAE"/>
    <w:rsid w:val="00581D7B"/>
    <w:rsid w:val="0058313D"/>
    <w:rsid w:val="00584181"/>
    <w:rsid w:val="0058628F"/>
    <w:rsid w:val="005869EA"/>
    <w:rsid w:val="0059423F"/>
    <w:rsid w:val="005B5064"/>
    <w:rsid w:val="005B5646"/>
    <w:rsid w:val="005C4CF0"/>
    <w:rsid w:val="005C520D"/>
    <w:rsid w:val="005C662C"/>
    <w:rsid w:val="005D3721"/>
    <w:rsid w:val="005D4612"/>
    <w:rsid w:val="005D465B"/>
    <w:rsid w:val="005D54F5"/>
    <w:rsid w:val="005E1937"/>
    <w:rsid w:val="005E3810"/>
    <w:rsid w:val="005E646A"/>
    <w:rsid w:val="005E6C11"/>
    <w:rsid w:val="005F2BB2"/>
    <w:rsid w:val="005F3913"/>
    <w:rsid w:val="005F5954"/>
    <w:rsid w:val="005F78BD"/>
    <w:rsid w:val="006039E6"/>
    <w:rsid w:val="00610FB9"/>
    <w:rsid w:val="00616AF2"/>
    <w:rsid w:val="006236E0"/>
    <w:rsid w:val="006244D8"/>
    <w:rsid w:val="00624C3C"/>
    <w:rsid w:val="006256B7"/>
    <w:rsid w:val="00626996"/>
    <w:rsid w:val="00631946"/>
    <w:rsid w:val="00632AFD"/>
    <w:rsid w:val="006347B6"/>
    <w:rsid w:val="00640059"/>
    <w:rsid w:val="006412B9"/>
    <w:rsid w:val="00643364"/>
    <w:rsid w:val="00645E3C"/>
    <w:rsid w:val="006461AB"/>
    <w:rsid w:val="0065054B"/>
    <w:rsid w:val="00650571"/>
    <w:rsid w:val="00653C65"/>
    <w:rsid w:val="00656984"/>
    <w:rsid w:val="006575CD"/>
    <w:rsid w:val="006643AF"/>
    <w:rsid w:val="00665207"/>
    <w:rsid w:val="00670067"/>
    <w:rsid w:val="00672757"/>
    <w:rsid w:val="006741C5"/>
    <w:rsid w:val="00674435"/>
    <w:rsid w:val="0068101E"/>
    <w:rsid w:val="00682E80"/>
    <w:rsid w:val="00684D1A"/>
    <w:rsid w:val="006868FB"/>
    <w:rsid w:val="006871F7"/>
    <w:rsid w:val="006900E4"/>
    <w:rsid w:val="00690769"/>
    <w:rsid w:val="006A4B05"/>
    <w:rsid w:val="006A5608"/>
    <w:rsid w:val="006A703A"/>
    <w:rsid w:val="006A7EF2"/>
    <w:rsid w:val="006B042C"/>
    <w:rsid w:val="006B1FB3"/>
    <w:rsid w:val="006C0FD7"/>
    <w:rsid w:val="006C2C1E"/>
    <w:rsid w:val="006D2B17"/>
    <w:rsid w:val="006D40C9"/>
    <w:rsid w:val="006D55C2"/>
    <w:rsid w:val="006E39CB"/>
    <w:rsid w:val="006E59E2"/>
    <w:rsid w:val="006E65CA"/>
    <w:rsid w:val="006E70A8"/>
    <w:rsid w:val="006E71D8"/>
    <w:rsid w:val="006F0724"/>
    <w:rsid w:val="006F7F69"/>
    <w:rsid w:val="00700D22"/>
    <w:rsid w:val="00705612"/>
    <w:rsid w:val="0070625E"/>
    <w:rsid w:val="007104E3"/>
    <w:rsid w:val="00713577"/>
    <w:rsid w:val="0071410B"/>
    <w:rsid w:val="00714577"/>
    <w:rsid w:val="00714BA8"/>
    <w:rsid w:val="00716397"/>
    <w:rsid w:val="0071685D"/>
    <w:rsid w:val="00716FE3"/>
    <w:rsid w:val="007179A6"/>
    <w:rsid w:val="007204B9"/>
    <w:rsid w:val="00723405"/>
    <w:rsid w:val="0072670C"/>
    <w:rsid w:val="00731A6E"/>
    <w:rsid w:val="00733522"/>
    <w:rsid w:val="00733595"/>
    <w:rsid w:val="00734647"/>
    <w:rsid w:val="0073465D"/>
    <w:rsid w:val="00736CD5"/>
    <w:rsid w:val="00741370"/>
    <w:rsid w:val="00741A49"/>
    <w:rsid w:val="00744CB9"/>
    <w:rsid w:val="00745210"/>
    <w:rsid w:val="007470E0"/>
    <w:rsid w:val="00747CA7"/>
    <w:rsid w:val="0075151D"/>
    <w:rsid w:val="00752A3E"/>
    <w:rsid w:val="00757F86"/>
    <w:rsid w:val="0076066C"/>
    <w:rsid w:val="00761603"/>
    <w:rsid w:val="007652FD"/>
    <w:rsid w:val="00766DFC"/>
    <w:rsid w:val="00767BFA"/>
    <w:rsid w:val="00770C1D"/>
    <w:rsid w:val="00773B8A"/>
    <w:rsid w:val="00782221"/>
    <w:rsid w:val="00786240"/>
    <w:rsid w:val="007905C9"/>
    <w:rsid w:val="00793A7F"/>
    <w:rsid w:val="007941A9"/>
    <w:rsid w:val="00795505"/>
    <w:rsid w:val="007957A2"/>
    <w:rsid w:val="00797221"/>
    <w:rsid w:val="007A0725"/>
    <w:rsid w:val="007A2130"/>
    <w:rsid w:val="007A3855"/>
    <w:rsid w:val="007A5918"/>
    <w:rsid w:val="007A5FEE"/>
    <w:rsid w:val="007A725A"/>
    <w:rsid w:val="007B3322"/>
    <w:rsid w:val="007B395E"/>
    <w:rsid w:val="007B52FF"/>
    <w:rsid w:val="007B5750"/>
    <w:rsid w:val="007B7BB0"/>
    <w:rsid w:val="007C0239"/>
    <w:rsid w:val="007C1103"/>
    <w:rsid w:val="007C1500"/>
    <w:rsid w:val="007C5911"/>
    <w:rsid w:val="007C5E49"/>
    <w:rsid w:val="007C65B9"/>
    <w:rsid w:val="007C7735"/>
    <w:rsid w:val="007D5527"/>
    <w:rsid w:val="007E4EAF"/>
    <w:rsid w:val="007E5D2C"/>
    <w:rsid w:val="007F1271"/>
    <w:rsid w:val="007F1EA5"/>
    <w:rsid w:val="007F4B6C"/>
    <w:rsid w:val="007F56CF"/>
    <w:rsid w:val="00801373"/>
    <w:rsid w:val="00801F6E"/>
    <w:rsid w:val="00803497"/>
    <w:rsid w:val="00804826"/>
    <w:rsid w:val="008050E6"/>
    <w:rsid w:val="008054CE"/>
    <w:rsid w:val="008079E7"/>
    <w:rsid w:val="00810062"/>
    <w:rsid w:val="00810922"/>
    <w:rsid w:val="00810B32"/>
    <w:rsid w:val="00813E66"/>
    <w:rsid w:val="00816A87"/>
    <w:rsid w:val="00816D8E"/>
    <w:rsid w:val="00820177"/>
    <w:rsid w:val="008257A7"/>
    <w:rsid w:val="00825E12"/>
    <w:rsid w:val="0082717D"/>
    <w:rsid w:val="0083054B"/>
    <w:rsid w:val="00831B68"/>
    <w:rsid w:val="00834438"/>
    <w:rsid w:val="00835690"/>
    <w:rsid w:val="00835848"/>
    <w:rsid w:val="0084007C"/>
    <w:rsid w:val="00840D5A"/>
    <w:rsid w:val="00842286"/>
    <w:rsid w:val="00844084"/>
    <w:rsid w:val="00850A3E"/>
    <w:rsid w:val="00850E18"/>
    <w:rsid w:val="00852C6F"/>
    <w:rsid w:val="008536EB"/>
    <w:rsid w:val="00853FAA"/>
    <w:rsid w:val="008574AF"/>
    <w:rsid w:val="008604AD"/>
    <w:rsid w:val="00862A44"/>
    <w:rsid w:val="00864A16"/>
    <w:rsid w:val="008651B7"/>
    <w:rsid w:val="00866DF0"/>
    <w:rsid w:val="00870260"/>
    <w:rsid w:val="008706E2"/>
    <w:rsid w:val="0087087D"/>
    <w:rsid w:val="00870FAC"/>
    <w:rsid w:val="00871C6F"/>
    <w:rsid w:val="0087217E"/>
    <w:rsid w:val="00876A0B"/>
    <w:rsid w:val="00877C3F"/>
    <w:rsid w:val="00884CAA"/>
    <w:rsid w:val="00885509"/>
    <w:rsid w:val="00886DDB"/>
    <w:rsid w:val="00887B33"/>
    <w:rsid w:val="00890181"/>
    <w:rsid w:val="00892A11"/>
    <w:rsid w:val="00893888"/>
    <w:rsid w:val="008A00BF"/>
    <w:rsid w:val="008A0A95"/>
    <w:rsid w:val="008A1972"/>
    <w:rsid w:val="008A2B47"/>
    <w:rsid w:val="008A5A23"/>
    <w:rsid w:val="008A6B53"/>
    <w:rsid w:val="008A7C57"/>
    <w:rsid w:val="008B51DD"/>
    <w:rsid w:val="008B6FAE"/>
    <w:rsid w:val="008C0126"/>
    <w:rsid w:val="008C1169"/>
    <w:rsid w:val="008C1502"/>
    <w:rsid w:val="008C3C65"/>
    <w:rsid w:val="008C4534"/>
    <w:rsid w:val="008C72CC"/>
    <w:rsid w:val="008C733D"/>
    <w:rsid w:val="008D027B"/>
    <w:rsid w:val="008D038A"/>
    <w:rsid w:val="008D0FC0"/>
    <w:rsid w:val="008D1AE9"/>
    <w:rsid w:val="008D23B9"/>
    <w:rsid w:val="008D27D9"/>
    <w:rsid w:val="008D31A7"/>
    <w:rsid w:val="008D3547"/>
    <w:rsid w:val="008D36D4"/>
    <w:rsid w:val="008D3E47"/>
    <w:rsid w:val="008D3F4B"/>
    <w:rsid w:val="008D4750"/>
    <w:rsid w:val="008D5E5C"/>
    <w:rsid w:val="008E0129"/>
    <w:rsid w:val="008E1761"/>
    <w:rsid w:val="008E2248"/>
    <w:rsid w:val="008E68FF"/>
    <w:rsid w:val="008E6F08"/>
    <w:rsid w:val="008E778A"/>
    <w:rsid w:val="008F1EE4"/>
    <w:rsid w:val="008F4B40"/>
    <w:rsid w:val="008F6038"/>
    <w:rsid w:val="008F710C"/>
    <w:rsid w:val="00901098"/>
    <w:rsid w:val="0090423A"/>
    <w:rsid w:val="00905385"/>
    <w:rsid w:val="009069CD"/>
    <w:rsid w:val="00914298"/>
    <w:rsid w:val="00914809"/>
    <w:rsid w:val="00915BF9"/>
    <w:rsid w:val="00916FF8"/>
    <w:rsid w:val="009249E5"/>
    <w:rsid w:val="009262C2"/>
    <w:rsid w:val="00926751"/>
    <w:rsid w:val="0093167F"/>
    <w:rsid w:val="009316F6"/>
    <w:rsid w:val="009349DD"/>
    <w:rsid w:val="0094409D"/>
    <w:rsid w:val="00946F0E"/>
    <w:rsid w:val="00947538"/>
    <w:rsid w:val="0095038A"/>
    <w:rsid w:val="00950B81"/>
    <w:rsid w:val="009541F0"/>
    <w:rsid w:val="00954313"/>
    <w:rsid w:val="00960C5C"/>
    <w:rsid w:val="0096200D"/>
    <w:rsid w:val="0096266B"/>
    <w:rsid w:val="00962C12"/>
    <w:rsid w:val="0096356B"/>
    <w:rsid w:val="00964F60"/>
    <w:rsid w:val="00965A21"/>
    <w:rsid w:val="009661E6"/>
    <w:rsid w:val="009667DF"/>
    <w:rsid w:val="00966970"/>
    <w:rsid w:val="009672E2"/>
    <w:rsid w:val="00972A8D"/>
    <w:rsid w:val="00972D0D"/>
    <w:rsid w:val="0098094E"/>
    <w:rsid w:val="00985EB9"/>
    <w:rsid w:val="0098695E"/>
    <w:rsid w:val="00993952"/>
    <w:rsid w:val="00994896"/>
    <w:rsid w:val="00995DA5"/>
    <w:rsid w:val="0099660D"/>
    <w:rsid w:val="009969B6"/>
    <w:rsid w:val="00997E4A"/>
    <w:rsid w:val="009A0DE5"/>
    <w:rsid w:val="009A158D"/>
    <w:rsid w:val="009A48F3"/>
    <w:rsid w:val="009A4B69"/>
    <w:rsid w:val="009B042B"/>
    <w:rsid w:val="009B2EF5"/>
    <w:rsid w:val="009B30D2"/>
    <w:rsid w:val="009B4C0B"/>
    <w:rsid w:val="009B779C"/>
    <w:rsid w:val="009B7FE0"/>
    <w:rsid w:val="009C063F"/>
    <w:rsid w:val="009C0FDB"/>
    <w:rsid w:val="009C4973"/>
    <w:rsid w:val="009C67B2"/>
    <w:rsid w:val="009C76FD"/>
    <w:rsid w:val="009D19DB"/>
    <w:rsid w:val="009D3D48"/>
    <w:rsid w:val="009D6D3B"/>
    <w:rsid w:val="009D729F"/>
    <w:rsid w:val="009D78F8"/>
    <w:rsid w:val="009E1897"/>
    <w:rsid w:val="009E4138"/>
    <w:rsid w:val="009E432D"/>
    <w:rsid w:val="009E4DF3"/>
    <w:rsid w:val="009E5BF0"/>
    <w:rsid w:val="009E7AA5"/>
    <w:rsid w:val="009E7ED9"/>
    <w:rsid w:val="009F0AFE"/>
    <w:rsid w:val="009F3A51"/>
    <w:rsid w:val="009F46E7"/>
    <w:rsid w:val="009F52FB"/>
    <w:rsid w:val="009F530A"/>
    <w:rsid w:val="009F6BEA"/>
    <w:rsid w:val="009F786C"/>
    <w:rsid w:val="00A0176A"/>
    <w:rsid w:val="00A01E8E"/>
    <w:rsid w:val="00A12415"/>
    <w:rsid w:val="00A129B8"/>
    <w:rsid w:val="00A17EC5"/>
    <w:rsid w:val="00A233A7"/>
    <w:rsid w:val="00A2517D"/>
    <w:rsid w:val="00A253F5"/>
    <w:rsid w:val="00A324AA"/>
    <w:rsid w:val="00A338CA"/>
    <w:rsid w:val="00A33D91"/>
    <w:rsid w:val="00A40F4B"/>
    <w:rsid w:val="00A45F42"/>
    <w:rsid w:val="00A47539"/>
    <w:rsid w:val="00A504F0"/>
    <w:rsid w:val="00A507FD"/>
    <w:rsid w:val="00A50805"/>
    <w:rsid w:val="00A51A1C"/>
    <w:rsid w:val="00A528A0"/>
    <w:rsid w:val="00A545A0"/>
    <w:rsid w:val="00A56ACB"/>
    <w:rsid w:val="00A61762"/>
    <w:rsid w:val="00A70075"/>
    <w:rsid w:val="00A70E87"/>
    <w:rsid w:val="00A727F3"/>
    <w:rsid w:val="00A75FD2"/>
    <w:rsid w:val="00A77AD0"/>
    <w:rsid w:val="00A77C73"/>
    <w:rsid w:val="00A81653"/>
    <w:rsid w:val="00A82CFC"/>
    <w:rsid w:val="00A849AE"/>
    <w:rsid w:val="00A85551"/>
    <w:rsid w:val="00A85D31"/>
    <w:rsid w:val="00A86090"/>
    <w:rsid w:val="00A911A3"/>
    <w:rsid w:val="00A94A45"/>
    <w:rsid w:val="00A94D59"/>
    <w:rsid w:val="00A96033"/>
    <w:rsid w:val="00A960F8"/>
    <w:rsid w:val="00A9634D"/>
    <w:rsid w:val="00AA1732"/>
    <w:rsid w:val="00AA19BA"/>
    <w:rsid w:val="00AA275C"/>
    <w:rsid w:val="00AA3D7F"/>
    <w:rsid w:val="00AA603D"/>
    <w:rsid w:val="00AB04D4"/>
    <w:rsid w:val="00AB15CD"/>
    <w:rsid w:val="00AB6F20"/>
    <w:rsid w:val="00AC1BB8"/>
    <w:rsid w:val="00AC4BA0"/>
    <w:rsid w:val="00AC5A94"/>
    <w:rsid w:val="00AC6BE2"/>
    <w:rsid w:val="00AD1998"/>
    <w:rsid w:val="00AE1119"/>
    <w:rsid w:val="00AE12C0"/>
    <w:rsid w:val="00AE1D69"/>
    <w:rsid w:val="00AE420B"/>
    <w:rsid w:val="00AE4D39"/>
    <w:rsid w:val="00AE69D2"/>
    <w:rsid w:val="00AE713E"/>
    <w:rsid w:val="00AE7268"/>
    <w:rsid w:val="00AE7526"/>
    <w:rsid w:val="00AE75E1"/>
    <w:rsid w:val="00AF2417"/>
    <w:rsid w:val="00AF316F"/>
    <w:rsid w:val="00AF6926"/>
    <w:rsid w:val="00AF70B9"/>
    <w:rsid w:val="00AF7498"/>
    <w:rsid w:val="00B01A40"/>
    <w:rsid w:val="00B03CFE"/>
    <w:rsid w:val="00B050F2"/>
    <w:rsid w:val="00B1071B"/>
    <w:rsid w:val="00B1308D"/>
    <w:rsid w:val="00B13C28"/>
    <w:rsid w:val="00B15E87"/>
    <w:rsid w:val="00B172B9"/>
    <w:rsid w:val="00B20D72"/>
    <w:rsid w:val="00B2140C"/>
    <w:rsid w:val="00B21795"/>
    <w:rsid w:val="00B26B9A"/>
    <w:rsid w:val="00B3723B"/>
    <w:rsid w:val="00B43C50"/>
    <w:rsid w:val="00B43FFE"/>
    <w:rsid w:val="00B456AF"/>
    <w:rsid w:val="00B4609F"/>
    <w:rsid w:val="00B52E53"/>
    <w:rsid w:val="00B5378C"/>
    <w:rsid w:val="00B53828"/>
    <w:rsid w:val="00B5459E"/>
    <w:rsid w:val="00B56CA5"/>
    <w:rsid w:val="00B60633"/>
    <w:rsid w:val="00B62854"/>
    <w:rsid w:val="00B6460D"/>
    <w:rsid w:val="00B6461D"/>
    <w:rsid w:val="00B65889"/>
    <w:rsid w:val="00B70F76"/>
    <w:rsid w:val="00B73EBE"/>
    <w:rsid w:val="00B7435A"/>
    <w:rsid w:val="00B75616"/>
    <w:rsid w:val="00B75E41"/>
    <w:rsid w:val="00B7685E"/>
    <w:rsid w:val="00B77EB4"/>
    <w:rsid w:val="00B800DF"/>
    <w:rsid w:val="00B8115E"/>
    <w:rsid w:val="00B83E50"/>
    <w:rsid w:val="00B85259"/>
    <w:rsid w:val="00BA2E47"/>
    <w:rsid w:val="00BA6238"/>
    <w:rsid w:val="00BA7D48"/>
    <w:rsid w:val="00BB3E97"/>
    <w:rsid w:val="00BB3EAD"/>
    <w:rsid w:val="00BB4494"/>
    <w:rsid w:val="00BC124D"/>
    <w:rsid w:val="00BC6FD7"/>
    <w:rsid w:val="00BC702A"/>
    <w:rsid w:val="00BD2B77"/>
    <w:rsid w:val="00BE238C"/>
    <w:rsid w:val="00BE51D3"/>
    <w:rsid w:val="00BE7424"/>
    <w:rsid w:val="00BF0B7F"/>
    <w:rsid w:val="00BF3DE3"/>
    <w:rsid w:val="00BF5A94"/>
    <w:rsid w:val="00BF62B2"/>
    <w:rsid w:val="00C0196D"/>
    <w:rsid w:val="00C045BE"/>
    <w:rsid w:val="00C04E2E"/>
    <w:rsid w:val="00C06DAA"/>
    <w:rsid w:val="00C11D9B"/>
    <w:rsid w:val="00C13DAA"/>
    <w:rsid w:val="00C14176"/>
    <w:rsid w:val="00C15CDE"/>
    <w:rsid w:val="00C15E32"/>
    <w:rsid w:val="00C22138"/>
    <w:rsid w:val="00C22B8B"/>
    <w:rsid w:val="00C25AA1"/>
    <w:rsid w:val="00C25C87"/>
    <w:rsid w:val="00C274FC"/>
    <w:rsid w:val="00C31603"/>
    <w:rsid w:val="00C32576"/>
    <w:rsid w:val="00C32E14"/>
    <w:rsid w:val="00C32EAC"/>
    <w:rsid w:val="00C339DE"/>
    <w:rsid w:val="00C33A95"/>
    <w:rsid w:val="00C3546D"/>
    <w:rsid w:val="00C36B2A"/>
    <w:rsid w:val="00C441CD"/>
    <w:rsid w:val="00C4487D"/>
    <w:rsid w:val="00C47781"/>
    <w:rsid w:val="00C47E23"/>
    <w:rsid w:val="00C506D6"/>
    <w:rsid w:val="00C54988"/>
    <w:rsid w:val="00C57D32"/>
    <w:rsid w:val="00C60676"/>
    <w:rsid w:val="00C60B75"/>
    <w:rsid w:val="00C6105B"/>
    <w:rsid w:val="00C6245B"/>
    <w:rsid w:val="00C7439D"/>
    <w:rsid w:val="00C745BA"/>
    <w:rsid w:val="00C74DC7"/>
    <w:rsid w:val="00C75E86"/>
    <w:rsid w:val="00C7655B"/>
    <w:rsid w:val="00C7678A"/>
    <w:rsid w:val="00C77635"/>
    <w:rsid w:val="00C82DCE"/>
    <w:rsid w:val="00C86743"/>
    <w:rsid w:val="00C91D51"/>
    <w:rsid w:val="00C92B00"/>
    <w:rsid w:val="00C96253"/>
    <w:rsid w:val="00CA0545"/>
    <w:rsid w:val="00CA1F71"/>
    <w:rsid w:val="00CA22DC"/>
    <w:rsid w:val="00CA340A"/>
    <w:rsid w:val="00CA5B2D"/>
    <w:rsid w:val="00CA624F"/>
    <w:rsid w:val="00CA6838"/>
    <w:rsid w:val="00CA6ECA"/>
    <w:rsid w:val="00CA7DBE"/>
    <w:rsid w:val="00CB0C21"/>
    <w:rsid w:val="00CB1AD7"/>
    <w:rsid w:val="00CB1F8A"/>
    <w:rsid w:val="00CB37EE"/>
    <w:rsid w:val="00CB4199"/>
    <w:rsid w:val="00CC1CCF"/>
    <w:rsid w:val="00CC4443"/>
    <w:rsid w:val="00CC4D85"/>
    <w:rsid w:val="00CC5518"/>
    <w:rsid w:val="00CD0346"/>
    <w:rsid w:val="00CD112A"/>
    <w:rsid w:val="00CD1C67"/>
    <w:rsid w:val="00CD2510"/>
    <w:rsid w:val="00CD5F16"/>
    <w:rsid w:val="00CD6240"/>
    <w:rsid w:val="00CD7757"/>
    <w:rsid w:val="00CE02B3"/>
    <w:rsid w:val="00CE22A0"/>
    <w:rsid w:val="00CE42F3"/>
    <w:rsid w:val="00CE7106"/>
    <w:rsid w:val="00CF0A9A"/>
    <w:rsid w:val="00CF3B1A"/>
    <w:rsid w:val="00CF3DDE"/>
    <w:rsid w:val="00CF3F0E"/>
    <w:rsid w:val="00CF42B4"/>
    <w:rsid w:val="00CF5BB8"/>
    <w:rsid w:val="00D03658"/>
    <w:rsid w:val="00D04F8A"/>
    <w:rsid w:val="00D0652D"/>
    <w:rsid w:val="00D07AF4"/>
    <w:rsid w:val="00D11314"/>
    <w:rsid w:val="00D11C81"/>
    <w:rsid w:val="00D13B36"/>
    <w:rsid w:val="00D1534C"/>
    <w:rsid w:val="00D17BC3"/>
    <w:rsid w:val="00D20B0D"/>
    <w:rsid w:val="00D2190A"/>
    <w:rsid w:val="00D232B2"/>
    <w:rsid w:val="00D279B0"/>
    <w:rsid w:val="00D27B47"/>
    <w:rsid w:val="00D3162F"/>
    <w:rsid w:val="00D34B22"/>
    <w:rsid w:val="00D35960"/>
    <w:rsid w:val="00D35EBD"/>
    <w:rsid w:val="00D36900"/>
    <w:rsid w:val="00D36EA5"/>
    <w:rsid w:val="00D43AAC"/>
    <w:rsid w:val="00D45082"/>
    <w:rsid w:val="00D51CAC"/>
    <w:rsid w:val="00D54353"/>
    <w:rsid w:val="00D576CF"/>
    <w:rsid w:val="00D60C90"/>
    <w:rsid w:val="00D65477"/>
    <w:rsid w:val="00D65677"/>
    <w:rsid w:val="00D672AD"/>
    <w:rsid w:val="00D71CD4"/>
    <w:rsid w:val="00D726DC"/>
    <w:rsid w:val="00D73C3D"/>
    <w:rsid w:val="00D74E3C"/>
    <w:rsid w:val="00D822A4"/>
    <w:rsid w:val="00D82347"/>
    <w:rsid w:val="00D82FEB"/>
    <w:rsid w:val="00D85FF0"/>
    <w:rsid w:val="00D91489"/>
    <w:rsid w:val="00DA32E6"/>
    <w:rsid w:val="00DA47EC"/>
    <w:rsid w:val="00DA7A4F"/>
    <w:rsid w:val="00DB0488"/>
    <w:rsid w:val="00DB246F"/>
    <w:rsid w:val="00DB3245"/>
    <w:rsid w:val="00DB4DCB"/>
    <w:rsid w:val="00DC19AE"/>
    <w:rsid w:val="00DC32CE"/>
    <w:rsid w:val="00DC4726"/>
    <w:rsid w:val="00DC556B"/>
    <w:rsid w:val="00DC5A71"/>
    <w:rsid w:val="00DC65EF"/>
    <w:rsid w:val="00DC6D0A"/>
    <w:rsid w:val="00DD31A4"/>
    <w:rsid w:val="00DD3FD8"/>
    <w:rsid w:val="00DD413D"/>
    <w:rsid w:val="00DD64D0"/>
    <w:rsid w:val="00DD7E26"/>
    <w:rsid w:val="00DE037A"/>
    <w:rsid w:val="00DE2FD4"/>
    <w:rsid w:val="00DE4B5B"/>
    <w:rsid w:val="00DE4EC2"/>
    <w:rsid w:val="00DF62C3"/>
    <w:rsid w:val="00DF79AF"/>
    <w:rsid w:val="00E02033"/>
    <w:rsid w:val="00E02F33"/>
    <w:rsid w:val="00E06BC3"/>
    <w:rsid w:val="00E122C8"/>
    <w:rsid w:val="00E125FF"/>
    <w:rsid w:val="00E148A8"/>
    <w:rsid w:val="00E16FCC"/>
    <w:rsid w:val="00E1750D"/>
    <w:rsid w:val="00E21A9F"/>
    <w:rsid w:val="00E26C99"/>
    <w:rsid w:val="00E27401"/>
    <w:rsid w:val="00E27DDE"/>
    <w:rsid w:val="00E31AFF"/>
    <w:rsid w:val="00E3323E"/>
    <w:rsid w:val="00E3389C"/>
    <w:rsid w:val="00E37752"/>
    <w:rsid w:val="00E37CA5"/>
    <w:rsid w:val="00E4037D"/>
    <w:rsid w:val="00E41455"/>
    <w:rsid w:val="00E42037"/>
    <w:rsid w:val="00E50219"/>
    <w:rsid w:val="00E52D4D"/>
    <w:rsid w:val="00E579D0"/>
    <w:rsid w:val="00E62D74"/>
    <w:rsid w:val="00E65EE4"/>
    <w:rsid w:val="00E70ABB"/>
    <w:rsid w:val="00E92B7E"/>
    <w:rsid w:val="00E935D1"/>
    <w:rsid w:val="00E94BB1"/>
    <w:rsid w:val="00EA1D19"/>
    <w:rsid w:val="00EA25E9"/>
    <w:rsid w:val="00EA5EE1"/>
    <w:rsid w:val="00EB004D"/>
    <w:rsid w:val="00EB02AE"/>
    <w:rsid w:val="00EB13B5"/>
    <w:rsid w:val="00EB5347"/>
    <w:rsid w:val="00EB5DD4"/>
    <w:rsid w:val="00EB5ECC"/>
    <w:rsid w:val="00EB6119"/>
    <w:rsid w:val="00EC1C7F"/>
    <w:rsid w:val="00EC233A"/>
    <w:rsid w:val="00EC2382"/>
    <w:rsid w:val="00EC26F0"/>
    <w:rsid w:val="00EC3179"/>
    <w:rsid w:val="00ED250D"/>
    <w:rsid w:val="00ED33B2"/>
    <w:rsid w:val="00ED50D0"/>
    <w:rsid w:val="00ED5DEA"/>
    <w:rsid w:val="00ED6580"/>
    <w:rsid w:val="00ED67E4"/>
    <w:rsid w:val="00EE30DB"/>
    <w:rsid w:val="00EE338B"/>
    <w:rsid w:val="00EE4E38"/>
    <w:rsid w:val="00EE6642"/>
    <w:rsid w:val="00EE7322"/>
    <w:rsid w:val="00EE7CF9"/>
    <w:rsid w:val="00EF0A87"/>
    <w:rsid w:val="00EF0BDE"/>
    <w:rsid w:val="00EF2510"/>
    <w:rsid w:val="00EF37EB"/>
    <w:rsid w:val="00EF3AC1"/>
    <w:rsid w:val="00EF6174"/>
    <w:rsid w:val="00EF7FB7"/>
    <w:rsid w:val="00F000F2"/>
    <w:rsid w:val="00F07EDC"/>
    <w:rsid w:val="00F11BA1"/>
    <w:rsid w:val="00F13338"/>
    <w:rsid w:val="00F21D8B"/>
    <w:rsid w:val="00F25292"/>
    <w:rsid w:val="00F254D2"/>
    <w:rsid w:val="00F25C98"/>
    <w:rsid w:val="00F30C51"/>
    <w:rsid w:val="00F32E07"/>
    <w:rsid w:val="00F36978"/>
    <w:rsid w:val="00F369FC"/>
    <w:rsid w:val="00F403EC"/>
    <w:rsid w:val="00F40796"/>
    <w:rsid w:val="00F416A4"/>
    <w:rsid w:val="00F43729"/>
    <w:rsid w:val="00F449E2"/>
    <w:rsid w:val="00F47221"/>
    <w:rsid w:val="00F47958"/>
    <w:rsid w:val="00F544A4"/>
    <w:rsid w:val="00F573C4"/>
    <w:rsid w:val="00F60970"/>
    <w:rsid w:val="00F6227F"/>
    <w:rsid w:val="00F62A6C"/>
    <w:rsid w:val="00F6306E"/>
    <w:rsid w:val="00F643C4"/>
    <w:rsid w:val="00F66252"/>
    <w:rsid w:val="00F67CA7"/>
    <w:rsid w:val="00F73278"/>
    <w:rsid w:val="00F83509"/>
    <w:rsid w:val="00F83E2B"/>
    <w:rsid w:val="00F85FE0"/>
    <w:rsid w:val="00F90295"/>
    <w:rsid w:val="00F91B44"/>
    <w:rsid w:val="00F94E5B"/>
    <w:rsid w:val="00FA133C"/>
    <w:rsid w:val="00FA1E92"/>
    <w:rsid w:val="00FA4478"/>
    <w:rsid w:val="00FA6623"/>
    <w:rsid w:val="00FB0A31"/>
    <w:rsid w:val="00FB0E43"/>
    <w:rsid w:val="00FB1E3D"/>
    <w:rsid w:val="00FB29D4"/>
    <w:rsid w:val="00FB2E06"/>
    <w:rsid w:val="00FB4FFE"/>
    <w:rsid w:val="00FB7A4F"/>
    <w:rsid w:val="00FB7C50"/>
    <w:rsid w:val="00FC16FB"/>
    <w:rsid w:val="00FC1A19"/>
    <w:rsid w:val="00FC29C3"/>
    <w:rsid w:val="00FD0411"/>
    <w:rsid w:val="00FD12B3"/>
    <w:rsid w:val="00FD2341"/>
    <w:rsid w:val="00FD6FBA"/>
    <w:rsid w:val="00FE2CA4"/>
    <w:rsid w:val="00FE2E2B"/>
    <w:rsid w:val="00FE320D"/>
    <w:rsid w:val="00FE760D"/>
    <w:rsid w:val="00FF059E"/>
    <w:rsid w:val="00FF08E9"/>
    <w:rsid w:val="00FF17D9"/>
    <w:rsid w:val="00FF25EA"/>
    <w:rsid w:val="00FF3D04"/>
    <w:rsid w:val="00FF496F"/>
    <w:rsid w:val="7FD92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uiPriority w:val="99"/>
    <w:rPr>
      <w:sz w:val="18"/>
      <w:szCs w:val="18"/>
    </w:rPr>
  </w:style>
  <w:style w:type="paragraph" w:customStyle="1" w:styleId="11">
    <w:name w:val="列出段落1"/>
    <w:basedOn w:val="1"/>
    <w:qFormat/>
    <w:uiPriority w:val="34"/>
    <w:pPr>
      <w:ind w:firstLine="420" w:firstLineChars="200"/>
    </w:pPr>
    <w:rPr>
      <w:rFonts w:ascii="Calibri" w:hAnsi="Calibri" w:eastAsia="宋体" w:cs="黑体"/>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940</Words>
  <Characters>5360</Characters>
  <Lines>44</Lines>
  <Paragraphs>12</Paragraphs>
  <TotalTime>0</TotalTime>
  <ScaleCrop>false</ScaleCrop>
  <LinksUpToDate>false</LinksUpToDate>
  <CharactersWithSpaces>6288</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2019-02-12T10:37:00Z</dcterms:created>
  <dc:creator>null,null,总收发</dc:creator>
  <cp:lastModifiedBy>user</cp:lastModifiedBy>
  <cp:lastPrinted>2022-02-14T12:16:00Z</cp:lastPrinted>
  <dcterms:modified xsi:type="dcterms:W3CDTF">2023-09-25T09:22:47Z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92A49D520EF81F0CE7E01065F46B5FD4</vt:lpwstr>
  </property>
</Properties>
</file>