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outlineLvl w:val="0"/>
        <w:rPr>
          <w:rFonts w:hint="default" w:hAnsi="Times New Roman" w:eastAsia="宋体"/>
          <w:b/>
          <w:sz w:val="44"/>
          <w:szCs w:val="44"/>
        </w:rPr>
      </w:pPr>
      <w:r>
        <w:rPr>
          <w:rFonts w:hint="default" w:hAnsi="Times New Roman" w:eastAsia="宋体"/>
          <w:b/>
          <w:sz w:val="44"/>
          <w:szCs w:val="44"/>
        </w:rPr>
        <w:t>关于202</w:t>
      </w:r>
      <w:r>
        <w:rPr>
          <w:rFonts w:hint="eastAsia" w:eastAsia="宋体"/>
          <w:b/>
          <w:sz w:val="44"/>
          <w:szCs w:val="44"/>
          <w:lang w:val="en-US" w:eastAsia="zh-CN"/>
        </w:rPr>
        <w:t>5</w:t>
      </w:r>
      <w:r>
        <w:rPr>
          <w:rFonts w:hint="default" w:hAnsi="Times New Roman" w:eastAsia="宋体"/>
          <w:b/>
          <w:sz w:val="44"/>
          <w:szCs w:val="44"/>
        </w:rPr>
        <w:t>年海南省省级一般公共预算</w:t>
      </w:r>
    </w:p>
    <w:p>
      <w:pPr>
        <w:spacing w:line="578" w:lineRule="exact"/>
        <w:jc w:val="center"/>
        <w:outlineLvl w:val="0"/>
        <w:rPr>
          <w:rFonts w:eastAsia="宋体"/>
          <w:b/>
          <w:sz w:val="44"/>
          <w:szCs w:val="44"/>
        </w:rPr>
      </w:pPr>
      <w:r>
        <w:rPr>
          <w:rFonts w:hint="default" w:hAnsi="Times New Roman" w:eastAsia="宋体"/>
          <w:b/>
          <w:sz w:val="44"/>
          <w:szCs w:val="44"/>
        </w:rPr>
        <w:t>支出预算的说明</w:t>
      </w:r>
    </w:p>
    <w:p>
      <w:pPr>
        <w:spacing w:line="578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年省本级地方一般公共预算支出</w:t>
      </w:r>
      <w:r>
        <w:rPr>
          <w:rFonts w:hint="default" w:eastAsia="仿宋_GB2312"/>
          <w:sz w:val="32"/>
          <w:szCs w:val="32"/>
          <w:lang w:val="en" w:eastAsia="zh-CN"/>
        </w:rPr>
        <w:t>727.9</w:t>
      </w:r>
      <w:r>
        <w:rPr>
          <w:rFonts w:eastAsia="仿宋_GB2312"/>
          <w:sz w:val="32"/>
          <w:szCs w:val="32"/>
        </w:rPr>
        <w:t>亿元，比202</w:t>
      </w:r>
      <w:r>
        <w:rPr>
          <w:rFonts w:hint="default" w:eastAsia="仿宋_GB2312"/>
          <w:sz w:val="32"/>
          <w:szCs w:val="32"/>
          <w:lang w:val="en" w:eastAsia="zh-CN"/>
        </w:rPr>
        <w:t>4</w:t>
      </w:r>
      <w:r>
        <w:rPr>
          <w:rFonts w:eastAsia="仿宋_GB2312"/>
          <w:sz w:val="32"/>
          <w:szCs w:val="32"/>
        </w:rPr>
        <w:t>年预算数</w:t>
      </w:r>
      <w:r>
        <w:rPr>
          <w:rFonts w:hint="eastAsia" w:eastAsia="仿宋_GB2312"/>
          <w:sz w:val="32"/>
          <w:szCs w:val="32"/>
          <w:lang w:eastAsia="zh-CN"/>
        </w:rPr>
        <w:t>增加</w:t>
      </w:r>
      <w:r>
        <w:rPr>
          <w:rFonts w:hint="default" w:eastAsia="仿宋_GB2312"/>
          <w:sz w:val="32"/>
          <w:szCs w:val="32"/>
          <w:lang w:val="en" w:eastAsia="zh-CN"/>
        </w:rPr>
        <w:t>27.6</w:t>
      </w:r>
      <w:r>
        <w:rPr>
          <w:rFonts w:eastAsia="仿宋_GB2312"/>
          <w:sz w:val="32"/>
          <w:szCs w:val="32"/>
        </w:rPr>
        <w:t>亿元</w:t>
      </w:r>
      <w:r>
        <w:rPr>
          <w:rFonts w:hint="eastAsia" w:eastAsia="仿宋_GB2312"/>
          <w:sz w:val="32"/>
          <w:szCs w:val="32"/>
          <w:lang w:eastAsia="zh-CN"/>
        </w:rPr>
        <w:t>，增加</w:t>
      </w:r>
      <w:r>
        <w:rPr>
          <w:rFonts w:hint="default" w:eastAsia="仿宋_GB2312"/>
          <w:sz w:val="32"/>
          <w:szCs w:val="32"/>
          <w:lang w:val="en" w:eastAsia="zh-CN"/>
        </w:rPr>
        <w:t>3</w:t>
      </w:r>
      <w:r>
        <w:rPr>
          <w:rFonts w:hint="eastAsia" w:eastAsia="仿宋_GB2312"/>
          <w:sz w:val="32"/>
          <w:szCs w:val="32"/>
          <w:lang w:val="en-US" w:eastAsia="zh-CN"/>
        </w:rPr>
        <w:t>.9</w:t>
      </w:r>
      <w:r>
        <w:rPr>
          <w:rFonts w:eastAsia="仿宋_GB2312"/>
          <w:sz w:val="32"/>
          <w:szCs w:val="32"/>
        </w:rPr>
        <w:t>%。主要如下：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1.一般公共服务支出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科目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65亿元,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比2024年预算数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增加5亿元,增长8.4%,主要是省大数据局机构改革后归省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营商环境建设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厅管理，约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4.5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亿元支出转列省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营商环境建设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厅部门预算,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支出科目相应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由资源勘探工业信息等支出调整至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本科目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支出。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2.教育支出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科目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100.1亿元,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比2024年预算数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增加8.4亿元,增长9.2%,主要是根据省委、省政府部署，加大对海南大学、海南师范大学和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海南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警察学院等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省属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高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等院校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投入。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3.社会保障和就业支出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科目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117.7亿元，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比2024年预算数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减少3.8亿元，下降3.1%，主要是做实历年职业年金虚账任务完成，2025年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省本级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不再安排补缴，相关支出减少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6亿元。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4.节能环保支出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科目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14.7亿元，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比2024年预算数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增加5.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亿元，增长60.6%，主要是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中央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林业草原生态恢复资金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结转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增加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5.9亿元。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5.农林水支出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科目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44.6亿元，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比2024年预算数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减少3.5亿元，下降7.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%，主要是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2024年中央下达我省增发国债一次性补助7.3亿元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列本科目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6.交通运输支出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科目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31.6亿元，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比2024年预算数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增加11.4亿元，增长56.1%，主要是民航支持政策调整，相关支出约11.9亿元由市县支出上划为省级支出。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</w:t>
      </w:r>
      <w:bookmarkStart w:id="0" w:name="_GoBack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商业服务业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科目</w:t>
      </w:r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.1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比2024年预算数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增加6.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亿元，增长523%，主要是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2025年省级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统筹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安排促消费资金10亿元用于配套落实中央“两新”政策，比2024年增加7亿元。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8.金融支出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科目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19.4亿元，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比2024年预算数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减少12.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亿元，下降39%，主要是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2024年省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本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级一次性安排农信社注资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12.5亿元，剔除后与2024年基本持平。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9.粮油物资储备支出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科目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比2024年预算数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增加1.8亿元，增长61.6%，主要是省级新增安排粮食储备库建设资金1.5亿元，同时粮食储备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支出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增加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0.4亿元。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10.其他支出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科目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70亿元，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比2024年预算数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增加5.8亿元，增长9%，主要是配套增发国债和超长期国债等支出增加。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eastAsia="仿宋"/>
          <w:sz w:val="32"/>
          <w:szCs w:val="32"/>
        </w:rPr>
      </w:pPr>
      <w:r>
        <w:rPr>
          <w:rFonts w:hint="eastAsia" w:eastAsia="仿宋"/>
          <w:sz w:val="32"/>
          <w:szCs w:val="32"/>
          <w:lang w:val="en-US" w:eastAsia="zh-CN"/>
        </w:rPr>
        <w:t>11.</w:t>
      </w:r>
      <w:r>
        <w:rPr>
          <w:rFonts w:hint="default" w:eastAsia="仿宋"/>
          <w:sz w:val="32"/>
          <w:szCs w:val="32"/>
        </w:rPr>
        <w:t>债务付息支出科目</w:t>
      </w:r>
      <w:r>
        <w:rPr>
          <w:rFonts w:hint="eastAsia" w:eastAsia="仿宋"/>
          <w:sz w:val="32"/>
          <w:szCs w:val="32"/>
          <w:lang w:val="en-US" w:eastAsia="zh-CN"/>
        </w:rPr>
        <w:t>31.8</w:t>
      </w:r>
      <w:r>
        <w:rPr>
          <w:rFonts w:hint="default" w:eastAsia="仿宋"/>
          <w:sz w:val="32"/>
          <w:szCs w:val="32"/>
        </w:rPr>
        <w:t>亿元，比202</w:t>
      </w:r>
      <w:r>
        <w:rPr>
          <w:rFonts w:hint="eastAsia" w:eastAsia="仿宋"/>
          <w:sz w:val="32"/>
          <w:szCs w:val="32"/>
          <w:lang w:val="en-US" w:eastAsia="zh-CN"/>
        </w:rPr>
        <w:t>4</w:t>
      </w:r>
      <w:r>
        <w:rPr>
          <w:rFonts w:hint="default" w:eastAsia="仿宋"/>
          <w:sz w:val="32"/>
          <w:szCs w:val="32"/>
        </w:rPr>
        <w:t>年预算数增加</w:t>
      </w:r>
      <w:r>
        <w:rPr>
          <w:rFonts w:hint="eastAsia" w:eastAsia="仿宋"/>
          <w:sz w:val="32"/>
          <w:szCs w:val="32"/>
          <w:lang w:val="en-US" w:eastAsia="zh-CN"/>
        </w:rPr>
        <w:t>2.1</w:t>
      </w:r>
      <w:r>
        <w:rPr>
          <w:rFonts w:hint="default" w:eastAsia="仿宋"/>
          <w:sz w:val="32"/>
          <w:szCs w:val="32"/>
        </w:rPr>
        <w:t>亿元，增长</w:t>
      </w:r>
      <w:r>
        <w:rPr>
          <w:rFonts w:hint="eastAsia" w:eastAsia="仿宋"/>
          <w:sz w:val="32"/>
          <w:szCs w:val="32"/>
          <w:lang w:val="en-US" w:eastAsia="zh-CN"/>
        </w:rPr>
        <w:t>7.1</w:t>
      </w:r>
      <w:r>
        <w:rPr>
          <w:rFonts w:hint="default" w:eastAsia="仿宋"/>
          <w:sz w:val="32"/>
          <w:szCs w:val="32"/>
        </w:rPr>
        <w:t>%，主要是政府债务余额增加</w:t>
      </w:r>
      <w:r>
        <w:rPr>
          <w:rFonts w:hint="eastAsia" w:eastAsia="仿宋"/>
          <w:sz w:val="32"/>
          <w:szCs w:val="32"/>
          <w:lang w:eastAsia="zh-CN"/>
        </w:rPr>
        <w:t>，</w:t>
      </w:r>
      <w:r>
        <w:rPr>
          <w:rFonts w:hint="default" w:eastAsia="仿宋"/>
          <w:sz w:val="32"/>
          <w:szCs w:val="32"/>
        </w:rPr>
        <w:t>付息支出相应增长。</w:t>
      </w:r>
    </w:p>
    <w:p>
      <w:pPr>
        <w:numPr>
          <w:ilvl w:val="0"/>
          <w:numId w:val="0"/>
        </w:numPr>
        <w:pBdr>
          <w:bottom w:val="single" w:color="FFFFFF" w:sz="4" w:space="31"/>
        </w:pBd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true"/>
  <w:bordersDoNotSurroundHeader w:val="true"/>
  <w:bordersDoNotSurroundFooter w:val="true"/>
  <w:trackRevisions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301"/>
    <w:rsid w:val="00014109"/>
    <w:rsid w:val="00021D29"/>
    <w:rsid w:val="00022EC8"/>
    <w:rsid w:val="00035F62"/>
    <w:rsid w:val="00045947"/>
    <w:rsid w:val="00050CA5"/>
    <w:rsid w:val="00055434"/>
    <w:rsid w:val="00072F4F"/>
    <w:rsid w:val="00087793"/>
    <w:rsid w:val="00096E75"/>
    <w:rsid w:val="000A14FF"/>
    <w:rsid w:val="000C406A"/>
    <w:rsid w:val="000D0B7B"/>
    <w:rsid w:val="000D28BB"/>
    <w:rsid w:val="000D46E8"/>
    <w:rsid w:val="000E0395"/>
    <w:rsid w:val="000E4786"/>
    <w:rsid w:val="001115E7"/>
    <w:rsid w:val="0012710E"/>
    <w:rsid w:val="0013063C"/>
    <w:rsid w:val="0013190D"/>
    <w:rsid w:val="00142B1B"/>
    <w:rsid w:val="001508BB"/>
    <w:rsid w:val="001701E4"/>
    <w:rsid w:val="001727A6"/>
    <w:rsid w:val="001965BB"/>
    <w:rsid w:val="001B2E1D"/>
    <w:rsid w:val="001D5CC9"/>
    <w:rsid w:val="002056CA"/>
    <w:rsid w:val="00232AA2"/>
    <w:rsid w:val="00232ECD"/>
    <w:rsid w:val="00254A69"/>
    <w:rsid w:val="00255A03"/>
    <w:rsid w:val="0027408B"/>
    <w:rsid w:val="002776B3"/>
    <w:rsid w:val="002D08FF"/>
    <w:rsid w:val="002D59A8"/>
    <w:rsid w:val="002E2FDD"/>
    <w:rsid w:val="002E33FE"/>
    <w:rsid w:val="002E60DD"/>
    <w:rsid w:val="002E71C4"/>
    <w:rsid w:val="002F0960"/>
    <w:rsid w:val="002F0EEC"/>
    <w:rsid w:val="00300899"/>
    <w:rsid w:val="003221ED"/>
    <w:rsid w:val="003256EE"/>
    <w:rsid w:val="003356E2"/>
    <w:rsid w:val="00353762"/>
    <w:rsid w:val="003668DD"/>
    <w:rsid w:val="0036710D"/>
    <w:rsid w:val="003A43EC"/>
    <w:rsid w:val="003B45BA"/>
    <w:rsid w:val="003C62F8"/>
    <w:rsid w:val="003C65B0"/>
    <w:rsid w:val="003D519D"/>
    <w:rsid w:val="00406B6B"/>
    <w:rsid w:val="0041399C"/>
    <w:rsid w:val="00420B20"/>
    <w:rsid w:val="00427116"/>
    <w:rsid w:val="00431C1E"/>
    <w:rsid w:val="0043233C"/>
    <w:rsid w:val="00434972"/>
    <w:rsid w:val="004556C4"/>
    <w:rsid w:val="00474F7C"/>
    <w:rsid w:val="004844A9"/>
    <w:rsid w:val="00491417"/>
    <w:rsid w:val="0049345D"/>
    <w:rsid w:val="004B2798"/>
    <w:rsid w:val="004B50D0"/>
    <w:rsid w:val="004D03E9"/>
    <w:rsid w:val="004D59DC"/>
    <w:rsid w:val="004E566C"/>
    <w:rsid w:val="00506301"/>
    <w:rsid w:val="00507D5A"/>
    <w:rsid w:val="00515E5E"/>
    <w:rsid w:val="00525C3F"/>
    <w:rsid w:val="00535693"/>
    <w:rsid w:val="00543ABB"/>
    <w:rsid w:val="00561243"/>
    <w:rsid w:val="005702CE"/>
    <w:rsid w:val="0057514B"/>
    <w:rsid w:val="0058376C"/>
    <w:rsid w:val="005C2114"/>
    <w:rsid w:val="005C34E3"/>
    <w:rsid w:val="005E6C90"/>
    <w:rsid w:val="005F02FC"/>
    <w:rsid w:val="005F0A59"/>
    <w:rsid w:val="00600334"/>
    <w:rsid w:val="006225A9"/>
    <w:rsid w:val="0062769A"/>
    <w:rsid w:val="00633A4E"/>
    <w:rsid w:val="00635610"/>
    <w:rsid w:val="006403D0"/>
    <w:rsid w:val="00647E88"/>
    <w:rsid w:val="00647FB0"/>
    <w:rsid w:val="00660F7B"/>
    <w:rsid w:val="00673854"/>
    <w:rsid w:val="00687B28"/>
    <w:rsid w:val="006B015C"/>
    <w:rsid w:val="006C3D9A"/>
    <w:rsid w:val="006D4525"/>
    <w:rsid w:val="006D5594"/>
    <w:rsid w:val="006E0ECC"/>
    <w:rsid w:val="006E2425"/>
    <w:rsid w:val="006E4546"/>
    <w:rsid w:val="006E6381"/>
    <w:rsid w:val="006F3A40"/>
    <w:rsid w:val="00720E8C"/>
    <w:rsid w:val="00723B8E"/>
    <w:rsid w:val="007314E7"/>
    <w:rsid w:val="007340BE"/>
    <w:rsid w:val="007537C1"/>
    <w:rsid w:val="0076502F"/>
    <w:rsid w:val="00771014"/>
    <w:rsid w:val="00787554"/>
    <w:rsid w:val="00797089"/>
    <w:rsid w:val="00797F1D"/>
    <w:rsid w:val="007A1419"/>
    <w:rsid w:val="007A6972"/>
    <w:rsid w:val="007A750D"/>
    <w:rsid w:val="007C27B0"/>
    <w:rsid w:val="007C7A03"/>
    <w:rsid w:val="007F320A"/>
    <w:rsid w:val="007F5B89"/>
    <w:rsid w:val="007F6CCC"/>
    <w:rsid w:val="008027F4"/>
    <w:rsid w:val="00820AC7"/>
    <w:rsid w:val="00820D56"/>
    <w:rsid w:val="008231DD"/>
    <w:rsid w:val="00831BD1"/>
    <w:rsid w:val="00875465"/>
    <w:rsid w:val="0088051C"/>
    <w:rsid w:val="00882BF9"/>
    <w:rsid w:val="008868DE"/>
    <w:rsid w:val="00887468"/>
    <w:rsid w:val="0089506F"/>
    <w:rsid w:val="008A6F0F"/>
    <w:rsid w:val="008A6FCD"/>
    <w:rsid w:val="008D05E4"/>
    <w:rsid w:val="008E65B8"/>
    <w:rsid w:val="008E738E"/>
    <w:rsid w:val="009033AB"/>
    <w:rsid w:val="009104FE"/>
    <w:rsid w:val="009135CA"/>
    <w:rsid w:val="00917A7C"/>
    <w:rsid w:val="00917DC5"/>
    <w:rsid w:val="00946045"/>
    <w:rsid w:val="009543A3"/>
    <w:rsid w:val="00960E9C"/>
    <w:rsid w:val="009671F3"/>
    <w:rsid w:val="00992D3E"/>
    <w:rsid w:val="009968AA"/>
    <w:rsid w:val="009B76E6"/>
    <w:rsid w:val="009B7833"/>
    <w:rsid w:val="009C02B9"/>
    <w:rsid w:val="009D7837"/>
    <w:rsid w:val="009F53C9"/>
    <w:rsid w:val="00A30C95"/>
    <w:rsid w:val="00A36CDB"/>
    <w:rsid w:val="00A37A4C"/>
    <w:rsid w:val="00A40475"/>
    <w:rsid w:val="00A46229"/>
    <w:rsid w:val="00A46988"/>
    <w:rsid w:val="00A57259"/>
    <w:rsid w:val="00A657CD"/>
    <w:rsid w:val="00A703A2"/>
    <w:rsid w:val="00A7369E"/>
    <w:rsid w:val="00A74CEE"/>
    <w:rsid w:val="00A9421C"/>
    <w:rsid w:val="00AD20A0"/>
    <w:rsid w:val="00AF5978"/>
    <w:rsid w:val="00B205B2"/>
    <w:rsid w:val="00B31095"/>
    <w:rsid w:val="00B50303"/>
    <w:rsid w:val="00B53EC7"/>
    <w:rsid w:val="00B803D6"/>
    <w:rsid w:val="00B80AB5"/>
    <w:rsid w:val="00B93FB6"/>
    <w:rsid w:val="00BA21BA"/>
    <w:rsid w:val="00BA6D8A"/>
    <w:rsid w:val="00BD07DA"/>
    <w:rsid w:val="00BE0D61"/>
    <w:rsid w:val="00BE2B9B"/>
    <w:rsid w:val="00BF0A43"/>
    <w:rsid w:val="00BF7867"/>
    <w:rsid w:val="00C0160C"/>
    <w:rsid w:val="00C03053"/>
    <w:rsid w:val="00C14A74"/>
    <w:rsid w:val="00C4450F"/>
    <w:rsid w:val="00C45695"/>
    <w:rsid w:val="00C47828"/>
    <w:rsid w:val="00C857A5"/>
    <w:rsid w:val="00C955D4"/>
    <w:rsid w:val="00CB3D47"/>
    <w:rsid w:val="00CB63F2"/>
    <w:rsid w:val="00CC4334"/>
    <w:rsid w:val="00CC6456"/>
    <w:rsid w:val="00CC6549"/>
    <w:rsid w:val="00CD383F"/>
    <w:rsid w:val="00CD7763"/>
    <w:rsid w:val="00CD7CD9"/>
    <w:rsid w:val="00CE180E"/>
    <w:rsid w:val="00CE205B"/>
    <w:rsid w:val="00CE2418"/>
    <w:rsid w:val="00CF483F"/>
    <w:rsid w:val="00D02093"/>
    <w:rsid w:val="00D05ADC"/>
    <w:rsid w:val="00D06F9D"/>
    <w:rsid w:val="00D16A6F"/>
    <w:rsid w:val="00D23325"/>
    <w:rsid w:val="00D25846"/>
    <w:rsid w:val="00D36406"/>
    <w:rsid w:val="00D51CDB"/>
    <w:rsid w:val="00D53FD8"/>
    <w:rsid w:val="00D5423C"/>
    <w:rsid w:val="00D61229"/>
    <w:rsid w:val="00D66D9F"/>
    <w:rsid w:val="00D72906"/>
    <w:rsid w:val="00D74624"/>
    <w:rsid w:val="00D91F50"/>
    <w:rsid w:val="00D9458E"/>
    <w:rsid w:val="00DC13CD"/>
    <w:rsid w:val="00DC49F5"/>
    <w:rsid w:val="00DD10AB"/>
    <w:rsid w:val="00E16E1E"/>
    <w:rsid w:val="00E2493B"/>
    <w:rsid w:val="00E40AC7"/>
    <w:rsid w:val="00E411DD"/>
    <w:rsid w:val="00E50C65"/>
    <w:rsid w:val="00E5719E"/>
    <w:rsid w:val="00E62BA0"/>
    <w:rsid w:val="00E639B0"/>
    <w:rsid w:val="00E65F4A"/>
    <w:rsid w:val="00E757AA"/>
    <w:rsid w:val="00E9645E"/>
    <w:rsid w:val="00EA2BDD"/>
    <w:rsid w:val="00EA7622"/>
    <w:rsid w:val="00EB2CEB"/>
    <w:rsid w:val="00EB50CE"/>
    <w:rsid w:val="00EB661B"/>
    <w:rsid w:val="00EB7C6F"/>
    <w:rsid w:val="00EC18FC"/>
    <w:rsid w:val="00EC4B40"/>
    <w:rsid w:val="00EC54DF"/>
    <w:rsid w:val="00ED4B9A"/>
    <w:rsid w:val="00EE4086"/>
    <w:rsid w:val="00EE426A"/>
    <w:rsid w:val="00EF2556"/>
    <w:rsid w:val="00F021DE"/>
    <w:rsid w:val="00F06EDC"/>
    <w:rsid w:val="00F17A54"/>
    <w:rsid w:val="00F321D7"/>
    <w:rsid w:val="00F37D89"/>
    <w:rsid w:val="00F40006"/>
    <w:rsid w:val="00F40DC2"/>
    <w:rsid w:val="00F54D80"/>
    <w:rsid w:val="00F6147A"/>
    <w:rsid w:val="00F66FA4"/>
    <w:rsid w:val="00F706DE"/>
    <w:rsid w:val="00F75315"/>
    <w:rsid w:val="00F9362C"/>
    <w:rsid w:val="00F950CE"/>
    <w:rsid w:val="00FA0271"/>
    <w:rsid w:val="00FB73FA"/>
    <w:rsid w:val="00FC1F74"/>
    <w:rsid w:val="00FF5E18"/>
    <w:rsid w:val="00FF7CC3"/>
    <w:rsid w:val="14E502AF"/>
    <w:rsid w:val="1734F2A1"/>
    <w:rsid w:val="1B7FF402"/>
    <w:rsid w:val="22414B97"/>
    <w:rsid w:val="29DE9C2F"/>
    <w:rsid w:val="2BFFECAA"/>
    <w:rsid w:val="30AF5AAA"/>
    <w:rsid w:val="392F6B23"/>
    <w:rsid w:val="3DAB25DC"/>
    <w:rsid w:val="3EE7C028"/>
    <w:rsid w:val="3FEFC631"/>
    <w:rsid w:val="564C2CD0"/>
    <w:rsid w:val="5BF6AD8A"/>
    <w:rsid w:val="5D055B9D"/>
    <w:rsid w:val="5D1E05CE"/>
    <w:rsid w:val="5FBFDB6C"/>
    <w:rsid w:val="5FDD211F"/>
    <w:rsid w:val="79254974"/>
    <w:rsid w:val="7DE71764"/>
    <w:rsid w:val="7F4F18D6"/>
    <w:rsid w:val="7FBC5FE1"/>
    <w:rsid w:val="7FFD1319"/>
    <w:rsid w:val="8F95A852"/>
    <w:rsid w:val="B7A7DA82"/>
    <w:rsid w:val="DF7B956F"/>
    <w:rsid w:val="DFFE78CE"/>
    <w:rsid w:val="E78F9533"/>
    <w:rsid w:val="EFFF3BEF"/>
    <w:rsid w:val="F67C2E11"/>
    <w:rsid w:val="F7FF5FB1"/>
    <w:rsid w:val="F7FFBB81"/>
    <w:rsid w:val="FDBFDACD"/>
    <w:rsid w:val="FF5FD1A0"/>
    <w:rsid w:val="FFDFC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报告正文"/>
    <w:basedOn w:val="1"/>
    <w:qFormat/>
    <w:uiPriority w:val="0"/>
    <w:pPr>
      <w:ind w:firstLine="200"/>
    </w:pPr>
  </w:style>
  <w:style w:type="paragraph" w:styleId="3">
    <w:name w:val="Body Text"/>
    <w:basedOn w:val="1"/>
    <w:unhideWhenUsed/>
    <w:qFormat/>
    <w:uiPriority w:val="99"/>
    <w:pPr>
      <w:spacing w:line="600" w:lineRule="exact"/>
      <w:jc w:val="center"/>
    </w:pPr>
    <w:rPr>
      <w:rFonts w:ascii="宋体" w:hAnsi="Times New Roman" w:eastAsia="宋体" w:cs="Times New Roman"/>
      <w:b/>
      <w:bCs/>
      <w:sz w:val="44"/>
      <w:szCs w:val="20"/>
    </w:rPr>
  </w:style>
  <w:style w:type="paragraph" w:styleId="4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  <w:szCs w:val="24"/>
    </w:rPr>
  </w:style>
  <w:style w:type="character" w:customStyle="1" w:styleId="10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205</Words>
  <Characters>1169</Characters>
  <Lines>9</Lines>
  <Paragraphs>2</Paragraphs>
  <TotalTime>106</TotalTime>
  <ScaleCrop>false</ScaleCrop>
  <LinksUpToDate>false</LinksUpToDate>
  <CharactersWithSpaces>1372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2021-02-15T12:08:00Z</dcterms:created>
  <dc:creator>张振旺</dc:creator>
  <cp:lastModifiedBy>邓志勇</cp:lastModifiedBy>
  <cp:lastPrinted>2025-01-23T09:35:00Z</cp:lastPrinted>
  <dcterms:modified xsi:type="dcterms:W3CDTF">2025-02-05T14:58:57Z</dcterms:modified>
  <dc:title>关于2025年海南省省级一般公共预算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