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0F6" w:rsidRDefault="00FB190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44"/>
        </w:rPr>
        <w:t>关于</w:t>
      </w:r>
      <w:r>
        <w:rPr>
          <w:rFonts w:ascii="Times New Roman" w:hAnsi="Times New Roman" w:cs="Times New Roman"/>
          <w:b/>
          <w:sz w:val="44"/>
          <w:szCs w:val="44"/>
        </w:rPr>
        <w:t>202</w:t>
      </w:r>
      <w:r>
        <w:rPr>
          <w:rFonts w:ascii="Times New Roman" w:hAnsi="Times New Roman" w:cs="Times New Roman" w:hint="eastAsia"/>
          <w:b/>
          <w:sz w:val="44"/>
          <w:szCs w:val="44"/>
        </w:rPr>
        <w:t>1</w:t>
      </w:r>
      <w:r>
        <w:rPr>
          <w:rFonts w:ascii="Times New Roman" w:hAnsi="Times New Roman" w:cs="Times New Roman"/>
          <w:b/>
          <w:sz w:val="44"/>
          <w:szCs w:val="44"/>
        </w:rPr>
        <w:t>年海南省省级一般公共预算</w:t>
      </w:r>
    </w:p>
    <w:p w:rsidR="001C00F6" w:rsidRDefault="00FB1903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收入预算的说明</w:t>
      </w:r>
    </w:p>
    <w:p w:rsidR="001C00F6" w:rsidRDefault="001C00F6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1C00F6" w:rsidRDefault="00FB1903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年省本级一般公共预算总收入</w:t>
      </w:r>
      <w:r>
        <w:rPr>
          <w:rFonts w:ascii="Times New Roman" w:eastAsia="仿宋_GB2312" w:hAnsi="Times New Roman" w:cs="Times New Roman"/>
          <w:sz w:val="32"/>
          <w:szCs w:val="32"/>
        </w:rPr>
        <w:t>1536.9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年减少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264.9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亿元，下降</w:t>
      </w:r>
      <w:r w:rsidRPr="00BB2F03">
        <w:rPr>
          <w:rFonts w:ascii="Times New Roman" w:eastAsia="仿宋_GB2312" w:hAnsi="Times New Roman" w:cs="Times New Roman"/>
          <w:sz w:val="32"/>
          <w:szCs w:val="32"/>
        </w:rPr>
        <w:t>12.9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年完成数</w:t>
      </w:r>
      <w:r w:rsidR="00DD673E">
        <w:rPr>
          <w:rFonts w:ascii="Times New Roman" w:eastAsia="仿宋_GB2312" w:hAnsi="Times New Roman" w:cs="Times New Roman" w:hint="eastAsia"/>
          <w:sz w:val="32"/>
          <w:szCs w:val="32"/>
        </w:rPr>
        <w:t>同口径</w:t>
      </w:r>
      <w:r w:rsidR="00DD673E">
        <w:rPr>
          <w:rStyle w:val="a7"/>
          <w:rFonts w:ascii="Times New Roman" w:eastAsia="仿宋_GB2312" w:hAnsi="Times New Roman" w:cs="Times New Roman"/>
          <w:sz w:val="32"/>
          <w:szCs w:val="32"/>
        </w:rPr>
        <w:footnoteReference w:id="2"/>
      </w:r>
      <w:r w:rsidR="00DD673E">
        <w:rPr>
          <w:rFonts w:ascii="Times New Roman" w:eastAsia="仿宋_GB2312" w:hAnsi="Times New Roman" w:cs="Times New Roman" w:hint="eastAsia"/>
          <w:sz w:val="32"/>
          <w:szCs w:val="32"/>
        </w:rPr>
        <w:t>相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比，下同</w:t>
      </w:r>
      <w:r w:rsidR="00994D7D">
        <w:rPr>
          <w:rFonts w:ascii="Times New Roman" w:eastAsia="仿宋_GB2312" w:hAnsi="Times New Roman" w:cs="Times New Roman" w:hint="eastAsia"/>
          <w:sz w:val="32"/>
          <w:szCs w:val="32"/>
        </w:rPr>
        <w:t>，主要是中央补助收入按财政部提前下达数编列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。具体构成情况如下：</w:t>
      </w:r>
    </w:p>
    <w:p w:rsidR="001C00F6" w:rsidRDefault="00FB1903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　　一、</w:t>
      </w:r>
      <w:r>
        <w:rPr>
          <w:rFonts w:ascii="Times New Roman" w:eastAsia="仿宋_GB2312" w:hAnsi="Times New Roman" w:cs="Times New Roman"/>
          <w:sz w:val="32"/>
          <w:szCs w:val="32"/>
        </w:rPr>
        <w:t>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年省本级一般公共预算收入预算数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297.9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8.7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</w:t>
      </w:r>
      <w:r>
        <w:rPr>
          <w:rFonts w:ascii="Times New Roman" w:eastAsia="仿宋_GB2312" w:hAnsi="Times New Roman" w:cs="Times New Roman"/>
          <w:sz w:val="32"/>
          <w:szCs w:val="32"/>
        </w:rPr>
        <w:t>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，主要根据年度经济发展因素预计。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1.</w:t>
      </w:r>
      <w:r>
        <w:rPr>
          <w:rFonts w:ascii="Times New Roman" w:eastAsia="仿宋_GB2312" w:hAnsi="Times New Roman" w:cs="Times New Roman"/>
          <w:sz w:val="32"/>
          <w:szCs w:val="32"/>
        </w:rPr>
        <w:t>增值税预算数为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63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增收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9.4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17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主要根据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自贸港社会经济发展趋势</w:t>
      </w:r>
      <w:r>
        <w:rPr>
          <w:rFonts w:ascii="Times New Roman" w:eastAsia="仿宋_GB2312" w:hAnsi="Times New Roman" w:cs="Times New Roman"/>
          <w:sz w:val="32"/>
          <w:szCs w:val="32"/>
        </w:rPr>
        <w:t>，房地产、工业、商业、固定资产投资等预计增长情况，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招商引资</w:t>
      </w:r>
      <w:r>
        <w:rPr>
          <w:rFonts w:ascii="Times New Roman" w:eastAsia="仿宋_GB2312" w:hAnsi="Times New Roman" w:cs="Times New Roman"/>
          <w:sz w:val="32"/>
          <w:szCs w:val="32"/>
        </w:rPr>
        <w:t>落户企业投资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结算额等因素测算。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2.</w:t>
      </w:r>
      <w:r>
        <w:rPr>
          <w:rFonts w:ascii="Times New Roman" w:eastAsia="仿宋_GB2312" w:hAnsi="Times New Roman" w:cs="Times New Roman"/>
          <w:sz w:val="32"/>
          <w:szCs w:val="32"/>
        </w:rPr>
        <w:t>企业所得税预算数为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3.3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，增长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1.5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我省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自贸港政策对所得税的影响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-202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年我省企业利润预计增长情况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，招商引资</w:t>
      </w:r>
      <w:r>
        <w:rPr>
          <w:rFonts w:ascii="Times New Roman" w:eastAsia="仿宋_GB2312" w:hAnsi="Times New Roman" w:cs="Times New Roman"/>
          <w:sz w:val="32"/>
          <w:szCs w:val="32"/>
        </w:rPr>
        <w:t>、总部企业落户情况等因素测算。</w:t>
      </w:r>
    </w:p>
    <w:p w:rsidR="001C00F6" w:rsidRDefault="00FB1903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sz w:val="32"/>
          <w:szCs w:val="32"/>
        </w:rPr>
        <w:t>3.</w:t>
      </w:r>
      <w:r>
        <w:rPr>
          <w:rFonts w:ascii="Times New Roman" w:eastAsia="仿宋_GB2312" w:hAnsi="Times New Roman" w:cs="Times New Roman"/>
          <w:sz w:val="32"/>
          <w:szCs w:val="32"/>
        </w:rPr>
        <w:t>个人所得税预算数为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8.6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0.9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，增长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我省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年我省自贸港</w:t>
      </w:r>
      <w:r>
        <w:rPr>
          <w:rFonts w:ascii="Times New Roman" w:eastAsia="仿宋_GB2312" w:hAnsi="Times New Roman" w:cs="Times New Roman"/>
          <w:sz w:val="32"/>
          <w:szCs w:val="32"/>
        </w:rPr>
        <w:t>政策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对所得税影响</w:t>
      </w:r>
      <w:r>
        <w:rPr>
          <w:rFonts w:ascii="Times New Roman" w:eastAsia="仿宋_GB2312" w:hAnsi="Times New Roman" w:cs="Times New Roman"/>
          <w:sz w:val="32"/>
          <w:szCs w:val="32"/>
        </w:rPr>
        <w:t>，居民收入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预计</w:t>
      </w:r>
      <w:r>
        <w:rPr>
          <w:rFonts w:ascii="Times New Roman" w:eastAsia="仿宋_GB2312" w:hAnsi="Times New Roman" w:cs="Times New Roman"/>
          <w:sz w:val="32"/>
          <w:szCs w:val="32"/>
        </w:rPr>
        <w:t>增长目标、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企业数量增加</w:t>
      </w:r>
      <w:r>
        <w:rPr>
          <w:rFonts w:ascii="Times New Roman" w:eastAsia="仿宋_GB2312" w:hAnsi="Times New Roman" w:cs="Times New Roman"/>
          <w:sz w:val="32"/>
          <w:szCs w:val="32"/>
        </w:rPr>
        <w:t>等因素测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算。</w:t>
      </w:r>
    </w:p>
    <w:p w:rsidR="001C00F6" w:rsidRDefault="00FB1903">
      <w:pPr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　　</w:t>
      </w:r>
      <w:r>
        <w:rPr>
          <w:rFonts w:ascii="Times New Roman" w:eastAsia="仿宋_GB2312" w:hAnsi="Times New Roman" w:cs="Times New Roman"/>
          <w:sz w:val="32"/>
          <w:szCs w:val="32"/>
        </w:rPr>
        <w:t>4.</w:t>
      </w:r>
      <w:r>
        <w:rPr>
          <w:rFonts w:ascii="Times New Roman" w:eastAsia="仿宋_GB2312" w:hAnsi="Times New Roman" w:cs="Times New Roman"/>
          <w:sz w:val="32"/>
          <w:szCs w:val="32"/>
        </w:rPr>
        <w:t>城市维护建设税预算数为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5.3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0.9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19.2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，主要根据与计征相关的增值税、消费税预计增长情况测算。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5.</w:t>
      </w:r>
      <w:r>
        <w:rPr>
          <w:rFonts w:ascii="Times New Roman" w:eastAsia="仿宋_GB2312" w:hAnsi="Times New Roman" w:cs="Times New Roman"/>
          <w:sz w:val="32"/>
          <w:szCs w:val="32"/>
        </w:rPr>
        <w:t>房产税预算数</w:t>
      </w:r>
      <w:r>
        <w:rPr>
          <w:rFonts w:ascii="Times New Roman" w:eastAsia="仿宋_GB2312" w:hAnsi="Times New Roman" w:cs="Times New Roman"/>
          <w:sz w:val="32"/>
          <w:szCs w:val="32"/>
        </w:rPr>
        <w:t>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.9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1.5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44.3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，主要根据应税房屋保有量等情况测算。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6.</w:t>
      </w:r>
      <w:r>
        <w:rPr>
          <w:rFonts w:ascii="Times New Roman" w:eastAsia="仿宋_GB2312" w:hAnsi="Times New Roman" w:cs="Times New Roman"/>
          <w:sz w:val="32"/>
          <w:szCs w:val="32"/>
        </w:rPr>
        <w:t>土地增值税预算数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90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2.5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2.8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-202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年我省年房屋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预计</w:t>
      </w:r>
      <w:r>
        <w:rPr>
          <w:rFonts w:ascii="Times New Roman" w:eastAsia="仿宋_GB2312" w:hAnsi="Times New Roman" w:cs="Times New Roman"/>
          <w:sz w:val="32"/>
          <w:szCs w:val="32"/>
        </w:rPr>
        <w:t>销售情况和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预计</w:t>
      </w:r>
      <w:r>
        <w:rPr>
          <w:rFonts w:ascii="Times New Roman" w:eastAsia="仿宋_GB2312" w:hAnsi="Times New Roman" w:cs="Times New Roman"/>
          <w:sz w:val="32"/>
          <w:szCs w:val="32"/>
        </w:rPr>
        <w:t>达到清算条件的房地产项目情况测算。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7.</w:t>
      </w:r>
      <w:r>
        <w:rPr>
          <w:rFonts w:ascii="Times New Roman" w:eastAsia="仿宋_GB2312" w:hAnsi="Times New Roman" w:cs="Times New Roman"/>
          <w:sz w:val="32"/>
          <w:szCs w:val="32"/>
        </w:rPr>
        <w:t>契税预算数</w:t>
      </w:r>
      <w:r>
        <w:rPr>
          <w:rFonts w:ascii="Times New Roman" w:eastAsia="仿宋_GB2312" w:hAnsi="Times New Roman" w:cs="Times New Roman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1.8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2.4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8.2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严格</w:t>
      </w:r>
      <w:r>
        <w:rPr>
          <w:rFonts w:ascii="Times New Roman" w:eastAsia="仿宋_GB2312" w:hAnsi="Times New Roman" w:cs="Times New Roman"/>
          <w:sz w:val="32"/>
          <w:szCs w:val="32"/>
        </w:rPr>
        <w:t>限购政策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继续</w:t>
      </w:r>
      <w:r>
        <w:rPr>
          <w:rFonts w:ascii="Times New Roman" w:eastAsia="仿宋_GB2312" w:hAnsi="Times New Roman" w:cs="Times New Roman"/>
          <w:sz w:val="32"/>
          <w:szCs w:val="32"/>
        </w:rPr>
        <w:t>实施后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-202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年我省房屋、土地销售预计情况测算。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8.</w:t>
      </w:r>
      <w:r>
        <w:rPr>
          <w:rFonts w:ascii="Times New Roman" w:eastAsia="仿宋_GB2312" w:hAnsi="Times New Roman" w:cs="Times New Roman"/>
          <w:sz w:val="32"/>
          <w:szCs w:val="32"/>
        </w:rPr>
        <w:t>城镇土地使用税预算数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0.5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14.1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，主要根据我省应税土地保有量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税务部门征管等情况测算。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9.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环境保护税</w:t>
      </w:r>
      <w:r>
        <w:rPr>
          <w:rFonts w:ascii="Times New Roman" w:eastAsia="仿宋_GB2312" w:hAnsi="Times New Roman" w:cs="Times New Roman"/>
          <w:sz w:val="32"/>
          <w:szCs w:val="32"/>
        </w:rPr>
        <w:t>预算数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0.2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sz w:val="32"/>
          <w:szCs w:val="32"/>
        </w:rPr>
        <w:t>增收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0.04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</w:t>
      </w:r>
      <w:r>
        <w:rPr>
          <w:rFonts w:ascii="Times New Roman" w:eastAsia="仿宋_GB2312" w:hAnsi="Times New Roman" w:cs="Times New Roman"/>
          <w:sz w:val="32"/>
          <w:szCs w:val="32"/>
        </w:rPr>
        <w:t>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20.7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，主要根据环境保护税政策以及我省环保税纳税人情况、税务部门征管等情况测算。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专项收入预算数为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13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1.5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12.9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根据</w:t>
      </w:r>
      <w:r>
        <w:rPr>
          <w:rFonts w:ascii="Times New Roman" w:eastAsia="仿宋_GB2312" w:hAnsi="Times New Roman" w:cs="Times New Roman"/>
          <w:sz w:val="32"/>
          <w:szCs w:val="32"/>
        </w:rPr>
        <w:t>减税降费政策实施后，各专项收入项目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预计</w:t>
      </w:r>
      <w:r>
        <w:rPr>
          <w:rFonts w:ascii="Times New Roman" w:eastAsia="仿宋_GB2312" w:hAnsi="Times New Roman" w:cs="Times New Roman"/>
          <w:sz w:val="32"/>
          <w:szCs w:val="32"/>
        </w:rPr>
        <w:t>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情况</w:t>
      </w:r>
      <w:r>
        <w:rPr>
          <w:rFonts w:ascii="Times New Roman" w:eastAsia="仿宋_GB2312" w:hAnsi="Times New Roman" w:cs="Times New Roman"/>
          <w:sz w:val="32"/>
          <w:szCs w:val="32"/>
        </w:rPr>
        <w:t>测算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行政事业性收费收入预算数为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12.8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增收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0.6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根据</w:t>
      </w:r>
      <w:r>
        <w:rPr>
          <w:rFonts w:ascii="Times New Roman" w:eastAsia="仿宋_GB2312" w:hAnsi="Times New Roman" w:cs="Times New Roman"/>
          <w:sz w:val="32"/>
          <w:szCs w:val="32"/>
        </w:rPr>
        <w:t>减税降费政策实施后，各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行政事业性</w:t>
      </w:r>
      <w:r>
        <w:rPr>
          <w:rFonts w:ascii="Times New Roman" w:eastAsia="仿宋_GB2312" w:hAnsi="Times New Roman" w:cs="Times New Roman"/>
          <w:sz w:val="32"/>
          <w:szCs w:val="32"/>
        </w:rPr>
        <w:t>收入项目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预计</w:t>
      </w:r>
      <w:r>
        <w:rPr>
          <w:rFonts w:ascii="Times New Roman" w:eastAsia="仿宋_GB2312" w:hAnsi="Times New Roman" w:cs="Times New Roman"/>
          <w:sz w:val="32"/>
          <w:szCs w:val="32"/>
        </w:rPr>
        <w:t>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情况</w:t>
      </w:r>
      <w:r>
        <w:rPr>
          <w:rFonts w:ascii="Times New Roman" w:eastAsia="仿宋_GB2312" w:hAnsi="Times New Roman" w:cs="Times New Roman"/>
          <w:sz w:val="32"/>
          <w:szCs w:val="32"/>
        </w:rPr>
        <w:t>测算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罚没收入预算数为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11.5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年减收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7.5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亿元，下降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39.4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扫黑除恶</w:t>
      </w:r>
      <w:r>
        <w:rPr>
          <w:rFonts w:ascii="Times New Roman" w:eastAsia="仿宋_GB2312" w:hAnsi="Times New Roman" w:cs="Times New Roman"/>
          <w:sz w:val="32"/>
          <w:szCs w:val="32"/>
        </w:rPr>
        <w:t>专项行动后，公检法司等执法单位预计情况测算。</w:t>
      </w:r>
    </w:p>
    <w:p w:rsidR="00DD673E" w:rsidRPr="00594D53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国有资</w:t>
      </w:r>
      <w:r w:rsidR="00DD673E">
        <w:rPr>
          <w:rFonts w:ascii="Times New Roman" w:eastAsia="仿宋_GB2312" w:hAnsi="Times New Roman" w:cs="Times New Roman" w:hint="eastAsia"/>
          <w:sz w:val="32"/>
          <w:szCs w:val="32"/>
        </w:rPr>
        <w:t>本经营</w:t>
      </w:r>
      <w:r>
        <w:rPr>
          <w:rFonts w:ascii="Times New Roman" w:eastAsia="仿宋_GB2312" w:hAnsi="Times New Roman" w:cs="Times New Roman"/>
          <w:sz w:val="32"/>
          <w:szCs w:val="32"/>
        </w:rPr>
        <w:t>收入预算数为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年减收</w:t>
      </w:r>
      <w:r w:rsidRPr="00594D53">
        <w:rPr>
          <w:rFonts w:ascii="Times New Roman" w:eastAsia="仿宋_GB2312" w:hAnsi="Times New Roman" w:cs="Times New Roman"/>
          <w:sz w:val="32"/>
          <w:szCs w:val="32"/>
        </w:rPr>
        <w:t>6.1</w:t>
      </w:r>
      <w:r w:rsidRPr="00594D53">
        <w:rPr>
          <w:rFonts w:ascii="Times New Roman" w:eastAsia="仿宋_GB2312" w:hAnsi="Times New Roman" w:cs="Times New Roman" w:hint="eastAsia"/>
          <w:sz w:val="32"/>
          <w:szCs w:val="32"/>
        </w:rPr>
        <w:t>亿元，下降</w:t>
      </w:r>
      <w:r w:rsidRPr="00594D53">
        <w:rPr>
          <w:rFonts w:ascii="Times New Roman" w:eastAsia="仿宋_GB2312" w:hAnsi="Times New Roman" w:cs="Times New Roman"/>
          <w:sz w:val="32"/>
          <w:szCs w:val="32"/>
        </w:rPr>
        <w:t>60.4%</w:t>
      </w:r>
      <w:r w:rsidRPr="00594D53">
        <w:rPr>
          <w:rFonts w:ascii="Times New Roman" w:eastAsia="仿宋_GB2312" w:hAnsi="Times New Roman" w:cs="Times New Roman" w:hint="eastAsia"/>
          <w:sz w:val="32"/>
          <w:szCs w:val="32"/>
        </w:rPr>
        <w:t>，主要</w:t>
      </w:r>
      <w:r w:rsidR="00DD673E" w:rsidRPr="00594D53">
        <w:rPr>
          <w:rFonts w:ascii="Times New Roman" w:eastAsia="仿宋_GB2312" w:hAnsi="Times New Roman" w:cs="Times New Roman" w:hint="eastAsia"/>
          <w:sz w:val="32"/>
          <w:szCs w:val="32"/>
        </w:rPr>
        <w:t>根据我省省属国有企业经营状况，利润增长情况进行测算。</w:t>
      </w:r>
    </w:p>
    <w:p w:rsidR="001C00F6" w:rsidRPr="00DD673E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 w:rsidRPr="00594D53">
        <w:rPr>
          <w:rFonts w:ascii="Times New Roman" w:eastAsia="仿宋_GB2312" w:hAnsi="Times New Roman" w:cs="Times New Roman"/>
          <w:sz w:val="32"/>
          <w:szCs w:val="32"/>
        </w:rPr>
        <w:t>14.</w:t>
      </w:r>
      <w:r w:rsidRPr="00594D53">
        <w:rPr>
          <w:rFonts w:ascii="Times New Roman" w:eastAsia="仿宋_GB2312" w:hAnsi="Times New Roman" w:cs="Times New Roman" w:hint="eastAsia"/>
          <w:sz w:val="32"/>
          <w:szCs w:val="32"/>
        </w:rPr>
        <w:t>国有</w:t>
      </w:r>
      <w:r w:rsidR="00DD673E" w:rsidRPr="00594D53">
        <w:rPr>
          <w:rFonts w:ascii="Times New Roman" w:eastAsia="仿宋_GB2312" w:hAnsi="Times New Roman" w:cs="Times New Roman" w:hint="eastAsia"/>
          <w:sz w:val="32"/>
          <w:szCs w:val="32"/>
        </w:rPr>
        <w:t>资源（资产）有偿使用</w:t>
      </w:r>
      <w:r w:rsidRPr="00594D53">
        <w:rPr>
          <w:rFonts w:ascii="Times New Roman" w:eastAsia="仿宋_GB2312" w:hAnsi="Times New Roman" w:cs="Times New Roman" w:hint="eastAsia"/>
          <w:sz w:val="32"/>
          <w:szCs w:val="32"/>
        </w:rPr>
        <w:t>收入预算数为</w:t>
      </w:r>
      <w:r w:rsidRPr="00594D53">
        <w:rPr>
          <w:rFonts w:ascii="Times New Roman" w:eastAsia="仿宋_GB2312" w:hAnsi="Times New Roman" w:cs="Times New Roman"/>
          <w:sz w:val="32"/>
          <w:szCs w:val="32"/>
        </w:rPr>
        <w:t>11.3</w:t>
      </w:r>
      <w:r w:rsidRPr="00594D53">
        <w:rPr>
          <w:rFonts w:ascii="Times New Roman" w:eastAsia="仿宋_GB2312" w:hAnsi="Times New Roman" w:cs="Times New Roman" w:hint="eastAsia"/>
          <w:sz w:val="32"/>
          <w:szCs w:val="32"/>
        </w:rPr>
        <w:t>亿元，比</w:t>
      </w:r>
      <w:r w:rsidRPr="00594D53">
        <w:rPr>
          <w:rFonts w:ascii="Times New Roman" w:eastAsia="仿宋_GB2312" w:hAnsi="Times New Roman" w:cs="Times New Roman"/>
          <w:sz w:val="32"/>
          <w:szCs w:val="32"/>
        </w:rPr>
        <w:t>2020</w:t>
      </w:r>
      <w:r w:rsidRPr="00594D53">
        <w:rPr>
          <w:rFonts w:ascii="Times New Roman" w:eastAsia="仿宋_GB2312" w:hAnsi="Times New Roman" w:cs="Times New Roman" w:hint="eastAsia"/>
          <w:sz w:val="32"/>
          <w:szCs w:val="32"/>
        </w:rPr>
        <w:t>年减收</w:t>
      </w:r>
      <w:r w:rsidRPr="00594D53">
        <w:rPr>
          <w:rFonts w:ascii="Times New Roman" w:eastAsia="仿宋_GB2312" w:hAnsi="Times New Roman" w:cs="Times New Roman"/>
          <w:sz w:val="32"/>
          <w:szCs w:val="32"/>
        </w:rPr>
        <w:t>1.1</w:t>
      </w:r>
      <w:r w:rsidRPr="00594D53">
        <w:rPr>
          <w:rFonts w:ascii="Times New Roman" w:eastAsia="仿宋_GB2312" w:hAnsi="Times New Roman" w:cs="Times New Roman" w:hint="eastAsia"/>
          <w:sz w:val="32"/>
          <w:szCs w:val="32"/>
        </w:rPr>
        <w:t>亿元，下降</w:t>
      </w:r>
      <w:r w:rsidRPr="00594D53">
        <w:rPr>
          <w:rFonts w:ascii="Times New Roman" w:eastAsia="仿宋_GB2312" w:hAnsi="Times New Roman" w:cs="Times New Roman"/>
          <w:sz w:val="32"/>
          <w:szCs w:val="32"/>
        </w:rPr>
        <w:t>8.8%</w:t>
      </w:r>
      <w:r w:rsidRPr="00594D53"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主要</w:t>
      </w:r>
      <w:r w:rsidR="00DD673E">
        <w:rPr>
          <w:rFonts w:ascii="Times New Roman" w:eastAsia="仿宋_GB2312" w:hAnsi="Times New Roman" w:cs="Times New Roman" w:hint="eastAsia"/>
          <w:sz w:val="32"/>
          <w:szCs w:val="32"/>
        </w:rPr>
        <w:t>根据我省继续</w:t>
      </w:r>
      <w:r w:rsidR="00DD673E">
        <w:rPr>
          <w:rFonts w:ascii="仿宋_GB2312" w:eastAsia="仿宋_GB2312" w:hAnsi="仿宋_GB2312" w:cs="仿宋_GB2312" w:hint="eastAsia"/>
          <w:kern w:val="0"/>
          <w:sz w:val="32"/>
          <w:szCs w:val="32"/>
          <w:lang w:val="zh-CN"/>
        </w:rPr>
        <w:t>合理盘活变现存量资产，对闲置和低效运行的国有资产处置的</w:t>
      </w:r>
      <w:r w:rsidR="00DD673E">
        <w:rPr>
          <w:rFonts w:ascii="仿宋_GB2312" w:eastAsia="仿宋_GB2312" w:hAnsi="仿宋_GB2312" w:cs="仿宋_GB2312"/>
          <w:kern w:val="0"/>
          <w:sz w:val="32"/>
          <w:szCs w:val="32"/>
          <w:lang w:val="zh-CN"/>
        </w:rPr>
        <w:t>情况进行测算</w:t>
      </w:r>
      <w:r w:rsidR="00DD673E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15.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政府住房基金</w:t>
      </w:r>
      <w:r>
        <w:rPr>
          <w:rFonts w:ascii="Times New Roman" w:eastAsia="仿宋_GB2312" w:hAnsi="Times New Roman" w:cs="Times New Roman"/>
          <w:sz w:val="32"/>
          <w:szCs w:val="32"/>
        </w:rPr>
        <w:t>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预算数</w:t>
      </w:r>
      <w:r>
        <w:rPr>
          <w:rFonts w:ascii="Times New Roman" w:eastAsia="仿宋_GB2312" w:hAnsi="Times New Roman" w:cs="Times New Roman"/>
          <w:sz w:val="32"/>
          <w:szCs w:val="32"/>
        </w:rPr>
        <w:t>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2.3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年减</w:t>
      </w:r>
      <w:r>
        <w:rPr>
          <w:rFonts w:ascii="Times New Roman" w:eastAsia="仿宋_GB2312" w:hAnsi="Times New Roman" w:cs="Times New Roman"/>
          <w:sz w:val="32"/>
          <w:szCs w:val="32"/>
        </w:rPr>
        <w:t>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0.1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下降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4.3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全省</w:t>
      </w:r>
      <w:r>
        <w:rPr>
          <w:rFonts w:ascii="Times New Roman" w:eastAsia="仿宋_GB2312" w:hAnsi="Times New Roman" w:cs="Times New Roman"/>
          <w:sz w:val="32"/>
          <w:szCs w:val="32"/>
        </w:rPr>
        <w:t>公积金收入以及保值增值收益情况测算。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/>
          <w:sz w:val="32"/>
          <w:szCs w:val="32"/>
        </w:rPr>
        <w:t>其他收入预算数为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3.2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年减收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0.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亿元，下降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3.3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，主要根据单位申报的征收计划测算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二、债务收入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201.9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年减少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66.9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亿元，下降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24.9%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主要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是财政部尚未下达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年度新增地方债券额度。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三、中央补助收入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779.4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年减少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220.1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亿元，下降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22</w:t>
      </w:r>
      <w:r>
        <w:rPr>
          <w:rFonts w:ascii="Times New Roman" w:eastAsia="仿宋_GB2312" w:hAnsi="Times New Roman" w:cs="Times New Roman"/>
          <w:sz w:val="32"/>
          <w:szCs w:val="32"/>
        </w:rPr>
        <w:t>%</w:t>
      </w:r>
      <w:r>
        <w:rPr>
          <w:rFonts w:ascii="Times New Roman" w:eastAsia="仿宋_GB2312" w:hAnsi="Times New Roman" w:cs="Times New Roman"/>
          <w:sz w:val="32"/>
          <w:szCs w:val="32"/>
        </w:rPr>
        <w:t>，主要是中央补助收入是按照财政部对我省的</w:t>
      </w:r>
      <w:r>
        <w:rPr>
          <w:rFonts w:ascii="Times New Roman" w:eastAsia="仿宋_GB2312" w:hAnsi="Times New Roman" w:cs="Times New Roman"/>
          <w:sz w:val="32"/>
          <w:szCs w:val="32"/>
        </w:rPr>
        <w:lastRenderedPageBreak/>
        <w:t>提前下达数进行编列，小于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年完成数。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四、市县上解收入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91.5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4.5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5.2%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主要是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年预算中存在</w:t>
      </w:r>
      <w:r>
        <w:rPr>
          <w:rFonts w:ascii="Times New Roman" w:eastAsia="仿宋_GB2312" w:hAnsi="Times New Roman" w:cs="Times New Roman"/>
          <w:sz w:val="32"/>
          <w:szCs w:val="32"/>
        </w:rPr>
        <w:t>跨市县闲置资金调剂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一次性因素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五、上年结余收入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44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17.5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66%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主要是</w:t>
      </w:r>
      <w:r>
        <w:rPr>
          <w:rFonts w:ascii="Times New Roman" w:eastAsia="仿宋_GB2312" w:hAnsi="Times New Roman" w:cs="Times New Roman"/>
          <w:sz w:val="32"/>
          <w:szCs w:val="32"/>
        </w:rPr>
        <w:t>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</w:t>
      </w:r>
      <w:r>
        <w:rPr>
          <w:rFonts w:ascii="Times New Roman" w:eastAsia="仿宋_GB2312" w:hAnsi="Times New Roman" w:cs="Times New Roman"/>
          <w:sz w:val="32"/>
          <w:szCs w:val="32"/>
        </w:rPr>
        <w:t>年中央专项资金未能完成分配需结转在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年继续支出。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六、调入资金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6.2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年减少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33.3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亿元，下降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84.2%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主要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年预算中存在抗疫特别国债从政府性基金调入一般公共预算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亿元一次性因素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1C00F6" w:rsidRDefault="00FB1903">
      <w:pPr>
        <w:ind w:firstLine="645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七、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动用</w:t>
      </w:r>
      <w:r>
        <w:rPr>
          <w:rFonts w:ascii="Times New Roman" w:eastAsia="仿宋_GB2312" w:hAnsi="Times New Roman" w:cs="Times New Roman"/>
          <w:sz w:val="32"/>
          <w:szCs w:val="32"/>
        </w:rPr>
        <w:t>预算稳定调节基金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116</w:t>
      </w:r>
      <w:r>
        <w:rPr>
          <w:rFonts w:ascii="Times New Roman" w:eastAsia="仿宋_GB2312" w:hAnsi="Times New Roman" w:cs="Times New Roman"/>
          <w:sz w:val="32"/>
          <w:szCs w:val="32"/>
        </w:rPr>
        <w:t>亿元，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年增加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24.6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亿元，增长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26.9%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主要是从省本级预算稳定调节基金中安排调入的资金，用于缓解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2021</w:t>
      </w:r>
      <w:r>
        <w:rPr>
          <w:rFonts w:ascii="Times New Roman" w:eastAsia="仿宋_GB2312" w:hAnsi="Times New Roman" w:cs="Times New Roman"/>
          <w:sz w:val="32"/>
          <w:szCs w:val="32"/>
        </w:rPr>
        <w:t>年财政收支矛盾。</w:t>
      </w:r>
    </w:p>
    <w:sectPr w:rsidR="001C00F6" w:rsidSect="00397203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91B" w:rsidRDefault="00C3191B">
      <w:r>
        <w:separator/>
      </w:r>
    </w:p>
  </w:endnote>
  <w:endnote w:type="continuationSeparator" w:id="1">
    <w:p w:rsidR="00C3191B" w:rsidRDefault="00C31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0F6" w:rsidRDefault="002504BC">
    <w:pPr>
      <w:pStyle w:val="a4"/>
      <w:jc w:val="center"/>
    </w:pPr>
    <w:r>
      <w:fldChar w:fldCharType="begin"/>
    </w:r>
    <w:r w:rsidR="00FB1903">
      <w:instrText>PAGE   \* MERGEFORMAT</w:instrText>
    </w:r>
    <w:r>
      <w:fldChar w:fldCharType="separate"/>
    </w:r>
    <w:r w:rsidR="00E2564F" w:rsidRPr="00E2564F">
      <w:rPr>
        <w:noProof/>
        <w:lang w:val="zh-CN"/>
      </w:rPr>
      <w:t>4</w:t>
    </w:r>
    <w:r>
      <w:fldChar w:fldCharType="end"/>
    </w:r>
  </w:p>
  <w:p w:rsidR="001C00F6" w:rsidRDefault="001C00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91B" w:rsidRDefault="00C3191B">
      <w:r>
        <w:separator/>
      </w:r>
    </w:p>
  </w:footnote>
  <w:footnote w:type="continuationSeparator" w:id="1">
    <w:p w:rsidR="00C3191B" w:rsidRDefault="00C3191B">
      <w:r>
        <w:continuationSeparator/>
      </w:r>
    </w:p>
  </w:footnote>
  <w:footnote w:id="2">
    <w:p w:rsidR="00DD673E" w:rsidRDefault="00DD673E">
      <w:pPr>
        <w:pStyle w:val="a6"/>
      </w:pPr>
      <w:r>
        <w:rPr>
          <w:rStyle w:val="a7"/>
        </w:rPr>
        <w:footnoteRef/>
      </w:r>
      <w:r>
        <w:rPr>
          <w:rFonts w:hAnsi="宋体" w:cs="仿宋_GB2312" w:hint="eastAsia"/>
          <w:sz w:val="28"/>
          <w:szCs w:val="28"/>
        </w:rPr>
        <w:t>同口径是指剔除债务收支数据对比。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00F6"/>
    <w:rsid w:val="0018570C"/>
    <w:rsid w:val="001C00F6"/>
    <w:rsid w:val="002504BC"/>
    <w:rsid w:val="002E5BF7"/>
    <w:rsid w:val="00397203"/>
    <w:rsid w:val="00594D53"/>
    <w:rsid w:val="006161AB"/>
    <w:rsid w:val="00860F75"/>
    <w:rsid w:val="00994D7D"/>
    <w:rsid w:val="009B2E4C"/>
    <w:rsid w:val="00BB2F03"/>
    <w:rsid w:val="00BD0026"/>
    <w:rsid w:val="00C3191B"/>
    <w:rsid w:val="00DD673E"/>
    <w:rsid w:val="00E2564F"/>
    <w:rsid w:val="00EF11CD"/>
    <w:rsid w:val="00FB1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203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3972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972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972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basedOn w:val="a"/>
    <w:qFormat/>
    <w:rsid w:val="00397203"/>
    <w:rPr>
      <w:rFonts w:ascii="Times New Roman" w:hAnsi="Times New Roman" w:cs="Times New Roman"/>
      <w:szCs w:val="20"/>
    </w:rPr>
  </w:style>
  <w:style w:type="character" w:customStyle="1" w:styleId="Char1">
    <w:name w:val="页眉 Char"/>
    <w:link w:val="a5"/>
    <w:uiPriority w:val="99"/>
    <w:qFormat/>
    <w:rsid w:val="00397203"/>
    <w:rPr>
      <w:rFonts w:ascii="Calibri" w:eastAsia="宋体" w:hAnsi="Calibri" w:cs="Calibri"/>
      <w:sz w:val="18"/>
      <w:szCs w:val="18"/>
    </w:rPr>
  </w:style>
  <w:style w:type="character" w:customStyle="1" w:styleId="Char0">
    <w:name w:val="页脚 Char"/>
    <w:link w:val="a4"/>
    <w:uiPriority w:val="99"/>
    <w:qFormat/>
    <w:rsid w:val="00397203"/>
    <w:rPr>
      <w:rFonts w:ascii="Calibri" w:eastAsia="宋体" w:hAnsi="Calibri" w:cs="Calibri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397203"/>
    <w:rPr>
      <w:rFonts w:ascii="Calibri" w:eastAsia="宋体" w:hAnsi="Calibri" w:cs="Calibri"/>
      <w:kern w:val="2"/>
      <w:sz w:val="18"/>
      <w:szCs w:val="18"/>
    </w:rPr>
  </w:style>
  <w:style w:type="paragraph" w:styleId="a6">
    <w:name w:val="footnote text"/>
    <w:basedOn w:val="a"/>
    <w:link w:val="Char2"/>
    <w:semiHidden/>
    <w:unhideWhenUsed/>
    <w:rsid w:val="00DD673E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6"/>
    <w:semiHidden/>
    <w:rsid w:val="00DD673E"/>
    <w:rPr>
      <w:rFonts w:ascii="Calibri" w:hAnsi="Calibri" w:cs="Calibri"/>
      <w:kern w:val="2"/>
      <w:sz w:val="18"/>
      <w:szCs w:val="18"/>
    </w:rPr>
  </w:style>
  <w:style w:type="character" w:styleId="a7">
    <w:name w:val="footnote reference"/>
    <w:basedOn w:val="a0"/>
    <w:semiHidden/>
    <w:unhideWhenUsed/>
    <w:rsid w:val="00DD673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 w:qFormat="1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Style1">
    <w:name w:val="_Style 1"/>
    <w:basedOn w:val="a"/>
    <w:qFormat/>
    <w:rPr>
      <w:rFonts w:ascii="Times New Roman" w:hAnsi="Times New Roman" w:cs="Times New Roman"/>
      <w:szCs w:val="20"/>
    </w:rPr>
  </w:style>
  <w:style w:type="character" w:customStyle="1" w:styleId="Char1">
    <w:name w:val="页眉 Char"/>
    <w:link w:val="a5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Char0">
    <w:name w:val="页脚 Char"/>
    <w:link w:val="a4"/>
    <w:uiPriority w:val="99"/>
    <w:qFormat/>
    <w:rPr>
      <w:rFonts w:ascii="Calibri" w:eastAsia="宋体" w:hAnsi="Calibri" w:cs="Calibri"/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rFonts w:ascii="Calibri" w:eastAsia="宋体" w:hAnsi="Calibri" w:cs="Calibri"/>
      <w:kern w:val="2"/>
      <w:sz w:val="18"/>
      <w:szCs w:val="18"/>
    </w:rPr>
  </w:style>
  <w:style w:type="paragraph" w:styleId="a6">
    <w:name w:val="footnote text"/>
    <w:basedOn w:val="a"/>
    <w:link w:val="Char2"/>
    <w:semiHidden/>
    <w:unhideWhenUsed/>
    <w:rsid w:val="00DD673E"/>
    <w:pPr>
      <w:snapToGrid w:val="0"/>
      <w:jc w:val="left"/>
    </w:pPr>
    <w:rPr>
      <w:sz w:val="18"/>
      <w:szCs w:val="18"/>
    </w:rPr>
  </w:style>
  <w:style w:type="character" w:customStyle="1" w:styleId="Char2">
    <w:name w:val="脚注文本 Char"/>
    <w:basedOn w:val="a0"/>
    <w:link w:val="a6"/>
    <w:semiHidden/>
    <w:rsid w:val="00DD673E"/>
    <w:rPr>
      <w:rFonts w:ascii="Calibri" w:hAnsi="Calibri" w:cs="Calibri"/>
      <w:kern w:val="2"/>
      <w:sz w:val="18"/>
      <w:szCs w:val="18"/>
    </w:rPr>
  </w:style>
  <w:style w:type="character" w:styleId="a7">
    <w:name w:val="footnote reference"/>
    <w:basedOn w:val="a0"/>
    <w:semiHidden/>
    <w:unhideWhenUsed/>
    <w:rsid w:val="00DD67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58D7129-C8AC-4F36-BE43-2864ACE130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276</Words>
  <Characters>1578</Characters>
  <Application>Microsoft Office Word</Application>
  <DocSecurity>0</DocSecurity>
  <Lines>13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关于2019年海南省省级一般公共预算</dc:title>
  <dc:creator>张振旺</dc:creator>
  <cp:lastModifiedBy>未定义</cp:lastModifiedBy>
  <cp:revision>7</cp:revision>
  <dcterms:created xsi:type="dcterms:W3CDTF">2021-02-07T07:14:00Z</dcterms:created>
  <dcterms:modified xsi:type="dcterms:W3CDTF">2021-02-09T02:34:00Z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