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06" w:type="dxa"/>
        <w:jc w:val="center"/>
        <w:tblCellSpacing w:w="0" w:type="dxa"/>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blCellSpacing w:w="0" w:type="dxa"/>
          <w:jc w:val="center"/>
        </w:trPr>
        <w:tc>
          <w:tcPr>
            <w:tcW w:w="8306" w:type="dxa"/>
            <w:vAlign w:val="center"/>
          </w:tcPr>
          <w:p>
            <w:pPr>
              <w:rPr>
                <w:rFonts w:ascii="Times New Roman" w:hAnsi="Times New Roman" w:cs="Times New Roman"/>
              </w:rPr>
            </w:pPr>
          </w:p>
        </w:tc>
      </w:tr>
      <w:tr>
        <w:tblPrEx>
          <w:tblCellMar>
            <w:top w:w="0" w:type="dxa"/>
            <w:left w:w="0" w:type="dxa"/>
            <w:bottom w:w="0" w:type="dxa"/>
            <w:right w:w="0" w:type="dxa"/>
          </w:tblCellMar>
        </w:tblPrEx>
        <w:trPr>
          <w:tblCellSpacing w:w="0" w:type="dxa"/>
          <w:jc w:val="center"/>
        </w:trPr>
        <w:tc>
          <w:tcPr>
            <w:tcW w:w="8306" w:type="dxa"/>
            <w:vAlign w:val="center"/>
          </w:tcPr>
          <w:tbl>
            <w:tblPr>
              <w:tblStyle w:val="5"/>
              <w:tblW w:w="8306" w:type="dxa"/>
              <w:tblCellSpacing w:w="0" w:type="dxa"/>
              <w:tblInd w:w="0" w:type="dxa"/>
              <w:shd w:val="clear" w:color="auto" w:fill="FFFFFF"/>
              <w:tblLayout w:type="fixed"/>
              <w:tblCellMar>
                <w:top w:w="0" w:type="dxa"/>
                <w:left w:w="0" w:type="dxa"/>
                <w:bottom w:w="0" w:type="dxa"/>
                <w:right w:w="0" w:type="dxa"/>
              </w:tblCellMar>
            </w:tblPr>
            <w:tblGrid>
              <w:gridCol w:w="8306"/>
            </w:tblGrid>
            <w:tr>
              <w:tblPrEx>
                <w:tblCellMar>
                  <w:top w:w="0" w:type="dxa"/>
                  <w:left w:w="0" w:type="dxa"/>
                  <w:bottom w:w="0" w:type="dxa"/>
                  <w:right w:w="0" w:type="dxa"/>
                </w:tblCellMar>
              </w:tblPrEx>
              <w:trPr>
                <w:trHeight w:val="1140" w:hRule="atLeast"/>
                <w:tblCellSpacing w:w="0" w:type="dxa"/>
              </w:trPr>
              <w:tc>
                <w:tcPr>
                  <w:tcW w:w="8306" w:type="dxa"/>
                  <w:shd w:val="clear" w:color="auto" w:fill="FFFFFF"/>
                </w:tcPr>
                <w:tbl>
                  <w:tblPr>
                    <w:tblStyle w:val="5"/>
                    <w:tblW w:w="8315" w:type="dxa"/>
                    <w:jc w:val="center"/>
                    <w:tblCellSpacing w:w="0" w:type="dxa"/>
                    <w:tblLayout w:type="fixed"/>
                    <w:tblCellMar>
                      <w:top w:w="0" w:type="dxa"/>
                      <w:left w:w="0" w:type="dxa"/>
                      <w:bottom w:w="0" w:type="dxa"/>
                      <w:right w:w="0" w:type="dxa"/>
                    </w:tblCellMar>
                  </w:tblPr>
                  <w:tblGrid>
                    <w:gridCol w:w="8315"/>
                  </w:tblGrid>
                  <w:tr>
                    <w:tblPrEx>
                      <w:tblCellMar>
                        <w:top w:w="0" w:type="dxa"/>
                        <w:left w:w="0" w:type="dxa"/>
                        <w:bottom w:w="0" w:type="dxa"/>
                        <w:right w:w="0" w:type="dxa"/>
                      </w:tblCellMar>
                    </w:tblPrEx>
                    <w:trPr>
                      <w:tblCellSpacing w:w="0" w:type="dxa"/>
                      <w:jc w:val="center"/>
                    </w:trPr>
                    <w:tc>
                      <w:tcPr>
                        <w:tcW w:w="8315" w:type="dxa"/>
                        <w:vAlign w:val="center"/>
                      </w:tcPr>
                      <w:p>
                        <w:pPr>
                          <w:jc w:val="center"/>
                          <w:rPr>
                            <w:rFonts w:ascii="Times New Roman" w:hAnsi="Times New Roman" w:cs="Times New Roman"/>
                            <w:b/>
                            <w:bCs/>
                            <w:sz w:val="44"/>
                            <w:szCs w:val="44"/>
                          </w:rPr>
                        </w:pPr>
                        <w:r>
                          <w:rPr>
                            <w:rFonts w:ascii="Times New Roman" w:hAnsi="宋体" w:cs="Times New Roman"/>
                            <w:b/>
                            <w:bCs/>
                            <w:sz w:val="44"/>
                            <w:szCs w:val="44"/>
                          </w:rPr>
                          <w:t>关于</w:t>
                        </w:r>
                        <w:r>
                          <w:rPr>
                            <w:rFonts w:ascii="Times New Roman" w:hAnsi="Times New Roman" w:cs="Times New Roman"/>
                            <w:b/>
                            <w:bCs/>
                            <w:sz w:val="44"/>
                            <w:szCs w:val="44"/>
                          </w:rPr>
                          <w:t>2021</w:t>
                        </w:r>
                        <w:r>
                          <w:rPr>
                            <w:rFonts w:ascii="Times New Roman" w:hAnsi="宋体" w:cs="Times New Roman"/>
                            <w:b/>
                            <w:bCs/>
                            <w:sz w:val="44"/>
                            <w:szCs w:val="44"/>
                          </w:rPr>
                          <w:t>年海南省省级政府性基金</w:t>
                        </w:r>
                      </w:p>
                      <w:p>
                        <w:pPr>
                          <w:jc w:val="center"/>
                          <w:rPr>
                            <w:rFonts w:ascii="Times New Roman" w:hAnsi="Times New Roman" w:cs="Times New Roman"/>
                            <w:b/>
                            <w:bCs/>
                            <w:sz w:val="44"/>
                            <w:szCs w:val="44"/>
                          </w:rPr>
                        </w:pPr>
                        <w:r>
                          <w:rPr>
                            <w:rFonts w:ascii="Times New Roman" w:hAnsi="宋体" w:cs="Times New Roman"/>
                            <w:b/>
                            <w:bCs/>
                            <w:sz w:val="44"/>
                            <w:szCs w:val="44"/>
                          </w:rPr>
                          <w:t>收入预算的说明</w:t>
                        </w:r>
                      </w:p>
                      <w:p>
                        <w:pPr>
                          <w:rPr>
                            <w:rFonts w:hint="default" w:ascii="Times New Roman" w:hAnsi="Times New Roman" w:eastAsia="仿宋_GB2312" w:cs="Times New Roman"/>
                            <w:sz w:val="32"/>
                            <w:szCs w:val="32"/>
                            <w:lang w:val="en-US" w:eastAsia="zh-CN"/>
                          </w:rPr>
                        </w:pPr>
                        <w:r>
                          <w:rPr>
                            <w:rFonts w:ascii="Times New Roman" w:hAnsi="仿宋_GB2312" w:eastAsia="仿宋_GB2312" w:cs="Times New Roman"/>
                            <w:sz w:val="32"/>
                            <w:szCs w:val="32"/>
                          </w:rPr>
                          <w:t>　　</w:t>
                        </w:r>
                        <w:bookmarkStart w:id="0" w:name="_GoBack"/>
                        <w:bookmarkEnd w:id="0"/>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2021年省本级政府性基金收入预算数为1,260,602万元，下降12.3%（与2020年年初预算数同口径</w:t>
                        </w:r>
                        <w:r>
                          <w:rPr>
                            <w:rFonts w:ascii="Times New Roman" w:hAnsi="Times New Roman" w:eastAsia="仿宋_GB2312" w:cs="Times New Roman"/>
                            <w:sz w:val="32"/>
                            <w:szCs w:val="32"/>
                            <w:vertAlign w:val="superscript"/>
                          </w:rPr>
                          <w:footnoteReference w:id="0"/>
                        </w:r>
                        <w:r>
                          <w:rPr>
                            <w:rFonts w:ascii="Times New Roman" w:hAnsi="Times New Roman" w:eastAsia="仿宋_GB2312" w:cs="Times New Roman"/>
                            <w:sz w:val="32"/>
                            <w:szCs w:val="32"/>
                          </w:rPr>
                          <w:t>相比，下同）。各项基金收入预算具体情况如下：</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一、海南省高等级公路车辆通行附加费收入预算数为251,940万元，比2020年预算数增加1,583万元，增长0.6%。主要是根据汽车增长以及历年海南省高等级公路车辆通行附加费收入增长情况预计。</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二、国家电影事业发展专项资金收入预算数为684万元，比2020年预算数减少996万元，下降59.3%。主要是根据当前疫情防控要求以及近年来国家电影事业发展专项资金收入情况预计。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三、国有土地使用权出让收入预算数为320,000万元，比2020年预算数减少200万元，下降0.1%。主要是根据目前房地产调控政策以及近年来国有土地使用权出让收入等因素预计。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四、大中型水库库区基金收入预算数为268万元，比2020年预算数增加44万元，增长19.6%。主要是根据</w:t>
                        </w:r>
                        <w:r>
                          <w:rPr>
                            <w:rFonts w:ascii="Times New Roman" w:hAnsi="Times New Roman" w:eastAsia="仿宋_GB2312" w:cs="Times New Roman"/>
                            <w:sz w:val="32"/>
                            <w:szCs w:val="32"/>
                            <w:lang w:val="zh-CN"/>
                          </w:rPr>
                          <w:t>20</w:t>
                        </w:r>
                        <w:r>
                          <w:rPr>
                            <w:rFonts w:ascii="Times New Roman" w:hAnsi="Times New Roman" w:eastAsia="仿宋_GB2312" w:cs="Times New Roman"/>
                            <w:sz w:val="32"/>
                            <w:szCs w:val="32"/>
                          </w:rPr>
                          <w:t>20</w:t>
                        </w:r>
                        <w:r>
                          <w:rPr>
                            <w:rFonts w:ascii="Times New Roman" w:hAnsi="Times New Roman" w:eastAsia="仿宋_GB2312" w:cs="Times New Roman"/>
                            <w:sz w:val="32"/>
                            <w:szCs w:val="32"/>
                            <w:lang w:val="zh-CN"/>
                          </w:rPr>
                          <w:t>年入库水流量以及</w:t>
                        </w:r>
                        <w:r>
                          <w:rPr>
                            <w:rFonts w:ascii="Times New Roman" w:hAnsi="Times New Roman" w:eastAsia="仿宋_GB2312" w:cs="Times New Roman"/>
                            <w:sz w:val="32"/>
                            <w:szCs w:val="32"/>
                          </w:rPr>
                          <w:t>近年来大中型水库库区基金收入情况预计。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五、彩票公益金收入预算数为9,747万元，比2020年预算数减少2,356万元，下降19.5%。主要是根据</w:t>
                        </w:r>
                        <w:r>
                          <w:rPr>
                            <w:rFonts w:ascii="Times New Roman" w:hAnsi="Times New Roman" w:eastAsia="仿宋_GB2312" w:cs="Times New Roman"/>
                            <w:sz w:val="32"/>
                            <w:szCs w:val="32"/>
                            <w:lang w:val="zh-CN"/>
                          </w:rPr>
                          <w:t>2019年财政部、民政部、体育总局联合印发的《关于调整高频快开彩票游戏和竞猜彩票游戏规则加强彩票市场监管的通知》（财综〔2019〕4号）的有关政策影响</w:t>
                        </w:r>
                        <w:r>
                          <w:rPr>
                            <w:rFonts w:ascii="Times New Roman" w:hAnsi="Times New Roman" w:eastAsia="仿宋_GB2312" w:cs="Times New Roman"/>
                            <w:sz w:val="32"/>
                            <w:szCs w:val="32"/>
                          </w:rPr>
                          <w:t>以及近年来彩票公益金收入情况预计。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六、小型水库移民扶助基金收入预算数为705万元，比2020年预算数增加12万元，增长1.7%。主要是根据近年来小型水库移民扶助基金收入情况预计。</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七、国家重大水利工程建设基金收入预算数为2,800万元，比2020年预算数减少988万元，下降26.1%。主要是根据《财政部关于调整部分政府性基金有关政策的通知》（财</w:t>
                        </w:r>
                        <w:r>
                          <w:rPr>
                            <w:rFonts w:ascii="Times New Roman" w:hAnsi="Times New Roman" w:eastAsia="仿宋_GB2312" w:cs="Times New Roman"/>
                            <w:sz w:val="32"/>
                            <w:szCs w:val="32"/>
                            <w:lang w:val="zh-CN"/>
                          </w:rPr>
                          <w:t>税〔2019〕46号</w:t>
                        </w:r>
                        <w:r>
                          <w:rPr>
                            <w:rFonts w:ascii="Times New Roman" w:hAnsi="Times New Roman" w:eastAsia="仿宋_GB2312" w:cs="Times New Roman"/>
                            <w:sz w:val="32"/>
                            <w:szCs w:val="32"/>
                          </w:rPr>
                          <w:t>）“自2019年7月1日起，将国家重大水利工程建设基金征收标准降低50%”以及近年来国家重大水利工程建设基金收入情况预计。</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八、彩票发行机构和彩票销售机构的业务费用预算数为3,693万元，比2020年预算数减少290万元，下降7.3%。主要是根据</w:t>
                        </w:r>
                        <w:r>
                          <w:rPr>
                            <w:rFonts w:ascii="Times New Roman" w:hAnsi="Times New Roman" w:eastAsia="仿宋_GB2312" w:cs="Times New Roman"/>
                            <w:sz w:val="32"/>
                            <w:szCs w:val="32"/>
                            <w:lang w:val="zh-CN"/>
                          </w:rPr>
                          <w:t>2019年财政部、民政部、体育总局联合印发的《关于调整高频快开彩票游戏和竞猜彩票游戏规则加强彩票市场监管的通知》（财综〔2019〕4号）的有关政策影响以及近年来</w:t>
                        </w:r>
                        <w:r>
                          <w:rPr>
                            <w:rFonts w:ascii="Times New Roman" w:hAnsi="Times New Roman" w:eastAsia="仿宋_GB2312" w:cs="Times New Roman"/>
                            <w:sz w:val="32"/>
                            <w:szCs w:val="32"/>
                          </w:rPr>
                          <w:t>彩票发行机构和彩票销售机构的业务费用情况预计。</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九、专项债券对应项目专项收入预算数为2,148万元，比2020年预算数增加2,148万元。主要是根据</w:t>
                        </w:r>
                        <w:r>
                          <w:rPr>
                            <w:rFonts w:ascii="Times New Roman" w:hAnsi="Times New Roman" w:eastAsia="仿宋_GB2312" w:cs="Times New Roman"/>
                            <w:sz w:val="32"/>
                            <w:szCs w:val="32"/>
                            <w:lang w:val="zh-CN"/>
                          </w:rPr>
                          <w:t>专项债券对应项目收益预计。</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十、国有土地使用权出让金债务收入预算数为561,904万元，比2020年预算数增加223,704万元。主要是根据2021年我省再融资债券需求预计。</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十一、政府性基金转移支付收入预算数为15,568万元，比2020年预算数减少91,285万元。主要是根据财政部提前下达的2021各项政府性基金转移支付收入数安排。</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十二、政府性基金上年结余收入预算数为76,842万元，比2020年预算数减少20,120万元，下降20.8%。主要是根据2020年政府性基金结余数安排。</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十三、政府性基金调入资金预算数为14,303万元，比2020年预算数增加14,303万元。主要是根据2021年政府债务还本付息需求预计。</w:t>
                        </w:r>
                      </w:p>
                    </w:tc>
                  </w:tr>
                </w:tbl>
                <w:p>
                  <w:pPr>
                    <w:rPr>
                      <w:rFonts w:ascii="Times New Roman" w:hAnsi="Times New Roman" w:eastAsia="仿宋_GB2312" w:cs="Times New Roman"/>
                      <w:sz w:val="32"/>
                      <w:szCs w:val="32"/>
                    </w:rPr>
                  </w:pPr>
                </w:p>
              </w:tc>
            </w:tr>
          </w:tbl>
          <w:p>
            <w:pPr>
              <w:rPr>
                <w:rFonts w:ascii="Times New Roman" w:hAnsi="Times New Roman" w:eastAsia="仿宋_GB2312" w:cs="Times New Roman"/>
                <w:sz w:val="32"/>
                <w:szCs w:val="32"/>
              </w:rPr>
            </w:pPr>
          </w:p>
        </w:tc>
      </w:tr>
    </w:tbl>
    <w:p>
      <w:pPr>
        <w:rPr>
          <w:rFonts w:ascii="Times New Roman" w:hAnsi="Times New Roman" w:cs="Times New Roman"/>
        </w:rPr>
      </w:pPr>
    </w:p>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2" o:spid="_x0000_s2049" o:spt="202" type="#_x0000_t202" style="position:absolute;left:0pt;margin-top:0pt;height:144pt;width:144pt;mso-position-horizontal:outside;mso-position-horizontal-relative:margin;mso-wrap-style:none;z-index:1024;mso-width-relative:page;mso-height-relative:page;" filled="f" o:preferrelative="t" stroked="f" coordsize="21600,2160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spacing w:beforeLines="50" w:line="400" w:lineRule="exact"/>
        <w:ind w:firstLine="420" w:firstLineChars="200"/>
        <w:rPr>
          <w:rFonts w:cs="仿宋_GB2312"/>
          <w:sz w:val="28"/>
          <w:szCs w:val="28"/>
        </w:rPr>
      </w:pPr>
      <w:r>
        <w:rPr>
          <w:rStyle w:val="8"/>
        </w:rPr>
        <w:footnoteRef/>
      </w:r>
      <w:r>
        <w:rPr>
          <w:rFonts w:hint="eastAsia" w:hAnsi="宋体" w:cs="仿宋_GB2312"/>
          <w:sz w:val="28"/>
          <w:szCs w:val="28"/>
        </w:rPr>
        <w:t>同口径是指剔除置换债券、新增专项债券和抗疫特别国债因素数据对比。</w:t>
      </w:r>
    </w:p>
    <w:p>
      <w:pPr>
        <w:spacing w:beforeLines="50" w:line="400" w:lineRule="exact"/>
        <w:ind w:firstLine="420" w:firstLineChars="200"/>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2"/>
    <w:footnote w:id="3"/>
  </w:foot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76E2"/>
    <w:rsid w:val="00260915"/>
    <w:rsid w:val="002E04AC"/>
    <w:rsid w:val="00411948"/>
    <w:rsid w:val="008B7093"/>
    <w:rsid w:val="00EB3887"/>
    <w:rsid w:val="00ED76E2"/>
    <w:rsid w:val="4CFDD9FA"/>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qFormat="1"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4">
    <w:name w:val="Normal (Web)"/>
    <w:basedOn w:val="1"/>
    <w:unhideWhenUsed/>
    <w:qFormat/>
    <w:uiPriority w:val="99"/>
    <w:pPr>
      <w:spacing w:before="100" w:beforeAutospacing="1" w:after="100" w:afterAutospacing="1"/>
      <w:jc w:val="left"/>
    </w:pPr>
    <w:rPr>
      <w:rFonts w:cs="Times New Roman"/>
      <w:kern w:val="0"/>
      <w:sz w:val="24"/>
    </w:rPr>
  </w:style>
  <w:style w:type="character" w:styleId="7">
    <w:name w:val="page number"/>
    <w:basedOn w:val="6"/>
    <w:unhideWhenUsed/>
    <w:qFormat/>
    <w:uiPriority w:val="99"/>
    <w:rPr>
      <w:rFonts w:cs="Times New Roman"/>
    </w:rPr>
  </w:style>
  <w:style w:type="character" w:styleId="8">
    <w:name w:val="footnote reference"/>
    <w:basedOn w:val="6"/>
    <w:unhideWhenUsed/>
    <w:qFormat/>
    <w:uiPriority w:val="99"/>
    <w:rPr>
      <w:rFonts w:cs="Times New Roman"/>
      <w:vertAlign w:val="superscript"/>
    </w:rPr>
  </w:style>
  <w:style w:type="paragraph" w:customStyle="1" w:styleId="9">
    <w:name w:val="hr_1"/>
    <w:basedOn w:val="1"/>
    <w:qFormat/>
    <w:uiPriority w:val="0"/>
    <w:pPr>
      <w:jc w:val="center"/>
    </w:pPr>
    <w:rPr>
      <w:rFonts w:cs="Times New Roman"/>
      <w:color w:val="99C2E2"/>
      <w:kern w:val="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209</Words>
  <Characters>1195</Characters>
  <Lines>9</Lines>
  <Paragraphs>2</Paragraphs>
  <TotalTime>1</TotalTime>
  <ScaleCrop>false</ScaleCrop>
  <LinksUpToDate>false</LinksUpToDate>
  <CharactersWithSpaces>1402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2018-02-08T13:11:00Z</dcterms:created>
  <dc:creator>lenovo</dc:creator>
  <cp:lastModifiedBy>uos</cp:lastModifiedBy>
  <cp:lastPrinted>2021-02-03T15:30:00Z</cp:lastPrinted>
  <dcterms:modified xsi:type="dcterms:W3CDTF">2021-02-10T18:05:49Z</dcterms:modified>
  <dc:title>关于2017年全省政府性基金收入预算的说明</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