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Theme="majorEastAsia"/>
          <w:b/>
          <w:sz w:val="44"/>
          <w:szCs w:val="44"/>
        </w:rPr>
      </w:pPr>
      <w:bookmarkStart w:id="0" w:name="_GoBack"/>
      <w:bookmarkEnd w:id="0"/>
      <w:r>
        <w:rPr>
          <w:rFonts w:hAnsiTheme="majorEastAsia" w:eastAsiaTheme="majorEastAsia"/>
          <w:b/>
          <w:sz w:val="44"/>
          <w:szCs w:val="44"/>
        </w:rPr>
        <w:t>关于</w:t>
      </w:r>
      <w:r>
        <w:rPr>
          <w:rFonts w:eastAsiaTheme="majorEastAsia"/>
          <w:b/>
          <w:sz w:val="44"/>
          <w:szCs w:val="44"/>
        </w:rPr>
        <w:t>2021</w:t>
      </w:r>
      <w:r>
        <w:rPr>
          <w:rFonts w:hAnsiTheme="majorEastAsia" w:eastAsiaTheme="majorEastAsia"/>
          <w:b/>
          <w:sz w:val="44"/>
          <w:szCs w:val="44"/>
        </w:rPr>
        <w:t>年海南省省级一般公共预算</w:t>
      </w:r>
    </w:p>
    <w:p>
      <w:pPr>
        <w:spacing w:line="600" w:lineRule="exact"/>
        <w:jc w:val="center"/>
        <w:rPr>
          <w:rFonts w:eastAsiaTheme="majorEastAsia"/>
          <w:b/>
          <w:sz w:val="44"/>
          <w:szCs w:val="44"/>
        </w:rPr>
      </w:pPr>
      <w:r>
        <w:rPr>
          <w:rFonts w:hAnsiTheme="majorEastAsia" w:eastAsiaTheme="majorEastAsia"/>
          <w:b/>
          <w:sz w:val="44"/>
          <w:szCs w:val="44"/>
        </w:rPr>
        <w:t>支出情况的说明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2021年省本级地方一般公共预算支出594.3亿元，比2020年年初预算数</w:t>
      </w:r>
      <w:r>
        <w:rPr>
          <w:rFonts w:hint="eastAsia" w:eastAsia="仿宋_GB2312"/>
          <w:sz w:val="32"/>
          <w:szCs w:val="32"/>
        </w:rPr>
        <w:t>同口径</w:t>
      </w:r>
      <w:r>
        <w:rPr>
          <w:rFonts w:eastAsia="仿宋_GB2312"/>
          <w:sz w:val="32"/>
          <w:szCs w:val="32"/>
        </w:rPr>
        <w:t>增加76.9亿元，增长12.8%。主要如下：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1.一般公共服务支出科目53.4亿元，比2020年预算数减少2.7亿元，下降4.7%，主要是2021年中央专款结转较2020年减少8.8亿元。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2.外交支出科目1.4亿元，比2020年预算数减少0.1亿元，下降7.8%，主要是2020年省公安厅、省委宣传部等博鳌亚洲论坛年会在本科目编列0.5亿元，2021年转列公共安全、文化旅游体育与传媒支出科目。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3.教育支出科目64.3亿元，比2020年预算数增加5.6亿元，增长9.5%，主要是2021年安排陵水黎安国际教育创新试验区建设及运行经费4.1亿元。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4.科学技术支出科目11.2亿元，比2020年预算数增加2.7亿元，增长31.4%，主要是2021年安排文昌国际航天城建设补助4亿元。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5.文化旅游体育与传媒支出科目13.6亿元，比2020年预算数增加1.3亿元，增长10.4%，主要是2021年安排省委宣传部博鳌亚洲论坛年</w:t>
      </w:r>
      <w:r>
        <w:rPr>
          <w:rFonts w:hint="eastAsia" w:eastAsia="仿宋_GB2312"/>
          <w:sz w:val="32"/>
          <w:szCs w:val="32"/>
        </w:rPr>
        <w:t>会</w:t>
      </w:r>
      <w:r>
        <w:rPr>
          <w:rFonts w:eastAsia="仿宋_GB2312"/>
          <w:sz w:val="32"/>
          <w:szCs w:val="32"/>
        </w:rPr>
        <w:t>0.4亿元，安排省旅文厅参加十四届全运会0.2亿元。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6.社会保障和就业支出科目105.8亿元，比2020年预算数增加19.7亿元，增长22.9%，主要是2021年安排企业职工养老保险补助、机关事业单位养老保险补助、城乡居民基本养老保障补助增加15.3亿元。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7.卫生健康支出科目74.5亿元，比2020年预算数增加47.5亿元，增长54.6%，主要是2021年安排省会城市三级公立医院14.9亿元，安排城乡居民基本医疗保险补助资金22.7亿元，安排基本公共卫生服务补助资金3.7亿元。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8.节能环保支出科目4.1亿元，比2020年预算数增加1.3亿元，增长48.2%，主要是2021年中央补助提前下达数增加0.8亿元。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9.农林水支出科目27.8亿元，比2020年预算数增加3.4亿元，增长14%，主要是2021年安排琼西北供水工程和天角潭水利枢纽工程3.2亿元。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10.交通运输支出科目95.8亿元，比2020年预算数增加14.7亿元，增长18.2%，主要是2021年安排G15海口段高速公路13亿元。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11.资源勘探工业信息等支出科目20.6亿元，比2020年预算数增加6.6亿元，增长47%，主要是2021年安排国有企业资本金注入增加4亿元。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12.商业服务业等支出科目1.3亿元，比2020年预算数减少0.2亿元，下降10.3%，主要是2021年中央专款结转减少0.4亿元。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13.自然资源海洋气象等支出科目2.2亿元，比2020年预算数减少0.6亿元，下降22.9%，主要是2021年国土空间生态修复专项资金0.4亿元转列对市县补助。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14.灾害防治及应急管理支出科目2.6亿元，比2020年预算数增加0.5亿元，增长22.9%，主要是2021年增加安排消防总队支出0.7亿元。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15.其他支出科目41.3亿元，比2020年预算数减少16.1亿元，下降28.1%，主要是基本支出预留减少4.5亿元，信息化建设项目减少6亿元。</w:t>
      </w:r>
    </w:p>
    <w:p>
      <w:pPr>
        <w:pBdr>
          <w:bottom w:val="single" w:color="FFFFFF" w:sz="4" w:space="31"/>
        </w:pBdr>
        <w:adjustRightInd w:val="0"/>
        <w:snapToGrid w:val="0"/>
        <w:spacing w:line="62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16.债务付息支出科目14.3亿元，比2020年预算数增加3.1亿元，增长28.4%，主要是根据2021年债券规模及计息利率计算安排。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Impact">
    <w:panose1 w:val="020B0806030902050204"/>
    <w:charset w:val="00"/>
    <w:family w:val="auto"/>
    <w:pitch w:val="default"/>
    <w:sig w:usb0="00000287" w:usb1="00000000" w:usb2="00000000" w:usb3="00000000" w:csb0="2000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6060395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06301"/>
    <w:rsid w:val="00014109"/>
    <w:rsid w:val="00021D29"/>
    <w:rsid w:val="00022EC8"/>
    <w:rsid w:val="00035F62"/>
    <w:rsid w:val="00045947"/>
    <w:rsid w:val="00050CA5"/>
    <w:rsid w:val="00055434"/>
    <w:rsid w:val="00072F4F"/>
    <w:rsid w:val="00087793"/>
    <w:rsid w:val="00096E75"/>
    <w:rsid w:val="000A14FF"/>
    <w:rsid w:val="000C406A"/>
    <w:rsid w:val="000D0B7B"/>
    <w:rsid w:val="000D28BB"/>
    <w:rsid w:val="000D46E8"/>
    <w:rsid w:val="000E0395"/>
    <w:rsid w:val="000E4786"/>
    <w:rsid w:val="001115E7"/>
    <w:rsid w:val="0012710E"/>
    <w:rsid w:val="0013063C"/>
    <w:rsid w:val="0013190D"/>
    <w:rsid w:val="00142B1B"/>
    <w:rsid w:val="001508BB"/>
    <w:rsid w:val="001701E4"/>
    <w:rsid w:val="001727A6"/>
    <w:rsid w:val="001965BB"/>
    <w:rsid w:val="001B2E1D"/>
    <w:rsid w:val="001D5CC9"/>
    <w:rsid w:val="002056CA"/>
    <w:rsid w:val="00232AA2"/>
    <w:rsid w:val="00232ECD"/>
    <w:rsid w:val="00254A69"/>
    <w:rsid w:val="00255A03"/>
    <w:rsid w:val="0027408B"/>
    <w:rsid w:val="002776B3"/>
    <w:rsid w:val="002D08FF"/>
    <w:rsid w:val="002D59A8"/>
    <w:rsid w:val="002E2FDD"/>
    <w:rsid w:val="002E33FE"/>
    <w:rsid w:val="002E60DD"/>
    <w:rsid w:val="002E71C4"/>
    <w:rsid w:val="002F0960"/>
    <w:rsid w:val="002F0EEC"/>
    <w:rsid w:val="00300899"/>
    <w:rsid w:val="003221ED"/>
    <w:rsid w:val="003256EE"/>
    <w:rsid w:val="003356E2"/>
    <w:rsid w:val="00353762"/>
    <w:rsid w:val="003668DD"/>
    <w:rsid w:val="0036710D"/>
    <w:rsid w:val="003A43EC"/>
    <w:rsid w:val="003B45BA"/>
    <w:rsid w:val="003C62F8"/>
    <w:rsid w:val="003C65B0"/>
    <w:rsid w:val="003D519D"/>
    <w:rsid w:val="00406B6B"/>
    <w:rsid w:val="0041399C"/>
    <w:rsid w:val="00420B20"/>
    <w:rsid w:val="00427116"/>
    <w:rsid w:val="00431C1E"/>
    <w:rsid w:val="0043233C"/>
    <w:rsid w:val="00434972"/>
    <w:rsid w:val="004556C4"/>
    <w:rsid w:val="00474F7C"/>
    <w:rsid w:val="004844A9"/>
    <w:rsid w:val="00491417"/>
    <w:rsid w:val="0049345D"/>
    <w:rsid w:val="004B2798"/>
    <w:rsid w:val="004B50D0"/>
    <w:rsid w:val="004D03E9"/>
    <w:rsid w:val="004D59DC"/>
    <w:rsid w:val="004E566C"/>
    <w:rsid w:val="00506301"/>
    <w:rsid w:val="00507D5A"/>
    <w:rsid w:val="00515E5E"/>
    <w:rsid w:val="00525C3F"/>
    <w:rsid w:val="00535693"/>
    <w:rsid w:val="00543ABB"/>
    <w:rsid w:val="00561243"/>
    <w:rsid w:val="005702CE"/>
    <w:rsid w:val="0057514B"/>
    <w:rsid w:val="0058376C"/>
    <w:rsid w:val="005C2114"/>
    <w:rsid w:val="005C34E3"/>
    <w:rsid w:val="005E6C90"/>
    <w:rsid w:val="005F02FC"/>
    <w:rsid w:val="005F0A59"/>
    <w:rsid w:val="00600334"/>
    <w:rsid w:val="006225A9"/>
    <w:rsid w:val="0062769A"/>
    <w:rsid w:val="00633A4E"/>
    <w:rsid w:val="00635610"/>
    <w:rsid w:val="006403D0"/>
    <w:rsid w:val="00647E88"/>
    <w:rsid w:val="00647FB0"/>
    <w:rsid w:val="00660F7B"/>
    <w:rsid w:val="00673854"/>
    <w:rsid w:val="00687B28"/>
    <w:rsid w:val="006B015C"/>
    <w:rsid w:val="006C3D9A"/>
    <w:rsid w:val="006D4525"/>
    <w:rsid w:val="006D5594"/>
    <w:rsid w:val="006E0ECC"/>
    <w:rsid w:val="006E2425"/>
    <w:rsid w:val="006E4546"/>
    <w:rsid w:val="006E6381"/>
    <w:rsid w:val="006F3A40"/>
    <w:rsid w:val="00720E8C"/>
    <w:rsid w:val="00723B8E"/>
    <w:rsid w:val="007314E7"/>
    <w:rsid w:val="007340BE"/>
    <w:rsid w:val="007537C1"/>
    <w:rsid w:val="0076502F"/>
    <w:rsid w:val="00771014"/>
    <w:rsid w:val="00787554"/>
    <w:rsid w:val="00797089"/>
    <w:rsid w:val="00797F1D"/>
    <w:rsid w:val="007A1419"/>
    <w:rsid w:val="007A6972"/>
    <w:rsid w:val="007A750D"/>
    <w:rsid w:val="007C27B0"/>
    <w:rsid w:val="007C7A03"/>
    <w:rsid w:val="007F320A"/>
    <w:rsid w:val="007F5B89"/>
    <w:rsid w:val="007F6CCC"/>
    <w:rsid w:val="008027F4"/>
    <w:rsid w:val="00820AC7"/>
    <w:rsid w:val="00820D56"/>
    <w:rsid w:val="008231DD"/>
    <w:rsid w:val="00831BD1"/>
    <w:rsid w:val="00875465"/>
    <w:rsid w:val="0088051C"/>
    <w:rsid w:val="00882BF9"/>
    <w:rsid w:val="008868DE"/>
    <w:rsid w:val="00887468"/>
    <w:rsid w:val="0089506F"/>
    <w:rsid w:val="008A6F0F"/>
    <w:rsid w:val="008A6FCD"/>
    <w:rsid w:val="008D05E4"/>
    <w:rsid w:val="008E65B8"/>
    <w:rsid w:val="008E738E"/>
    <w:rsid w:val="009033AB"/>
    <w:rsid w:val="009104FE"/>
    <w:rsid w:val="009135CA"/>
    <w:rsid w:val="00917A7C"/>
    <w:rsid w:val="00917DC5"/>
    <w:rsid w:val="00946045"/>
    <w:rsid w:val="009543A3"/>
    <w:rsid w:val="00960E9C"/>
    <w:rsid w:val="009671F3"/>
    <w:rsid w:val="00992D3E"/>
    <w:rsid w:val="009968AA"/>
    <w:rsid w:val="009B76E6"/>
    <w:rsid w:val="009B7833"/>
    <w:rsid w:val="009C02B9"/>
    <w:rsid w:val="009D7837"/>
    <w:rsid w:val="009F53C9"/>
    <w:rsid w:val="00A30C95"/>
    <w:rsid w:val="00A36CDB"/>
    <w:rsid w:val="00A37A4C"/>
    <w:rsid w:val="00A40475"/>
    <w:rsid w:val="00A46229"/>
    <w:rsid w:val="00A46988"/>
    <w:rsid w:val="00A57259"/>
    <w:rsid w:val="00A657CD"/>
    <w:rsid w:val="00A703A2"/>
    <w:rsid w:val="00A7369E"/>
    <w:rsid w:val="00A74CEE"/>
    <w:rsid w:val="00A9421C"/>
    <w:rsid w:val="00AD20A0"/>
    <w:rsid w:val="00AF5978"/>
    <w:rsid w:val="00B205B2"/>
    <w:rsid w:val="00B31095"/>
    <w:rsid w:val="00B50303"/>
    <w:rsid w:val="00B53EC7"/>
    <w:rsid w:val="00B803D6"/>
    <w:rsid w:val="00B80AB5"/>
    <w:rsid w:val="00B93FB6"/>
    <w:rsid w:val="00BA21BA"/>
    <w:rsid w:val="00BA6D8A"/>
    <w:rsid w:val="00BD07DA"/>
    <w:rsid w:val="00BE0D61"/>
    <w:rsid w:val="00BE2B9B"/>
    <w:rsid w:val="00BF0A43"/>
    <w:rsid w:val="00BF7867"/>
    <w:rsid w:val="00C0160C"/>
    <w:rsid w:val="00C03053"/>
    <w:rsid w:val="00C14A74"/>
    <w:rsid w:val="00C4450F"/>
    <w:rsid w:val="00C45695"/>
    <w:rsid w:val="00C47828"/>
    <w:rsid w:val="00C857A5"/>
    <w:rsid w:val="00C955D4"/>
    <w:rsid w:val="00CB3D47"/>
    <w:rsid w:val="00CB63F2"/>
    <w:rsid w:val="00CC4334"/>
    <w:rsid w:val="00CC6456"/>
    <w:rsid w:val="00CC6549"/>
    <w:rsid w:val="00CD383F"/>
    <w:rsid w:val="00CD7763"/>
    <w:rsid w:val="00CD7CD9"/>
    <w:rsid w:val="00CE180E"/>
    <w:rsid w:val="00CE205B"/>
    <w:rsid w:val="00CE2418"/>
    <w:rsid w:val="00CF483F"/>
    <w:rsid w:val="00D02093"/>
    <w:rsid w:val="00D05ADC"/>
    <w:rsid w:val="00D06F9D"/>
    <w:rsid w:val="00D16A6F"/>
    <w:rsid w:val="00D23325"/>
    <w:rsid w:val="00D25846"/>
    <w:rsid w:val="00D36406"/>
    <w:rsid w:val="00D51CDB"/>
    <w:rsid w:val="00D53FD8"/>
    <w:rsid w:val="00D5423C"/>
    <w:rsid w:val="00D61229"/>
    <w:rsid w:val="00D66D9F"/>
    <w:rsid w:val="00D72906"/>
    <w:rsid w:val="00D74624"/>
    <w:rsid w:val="00D91F50"/>
    <w:rsid w:val="00D9458E"/>
    <w:rsid w:val="00DC13CD"/>
    <w:rsid w:val="00DC49F5"/>
    <w:rsid w:val="00DD10AB"/>
    <w:rsid w:val="00E16E1E"/>
    <w:rsid w:val="00E2493B"/>
    <w:rsid w:val="00E40AC7"/>
    <w:rsid w:val="00E411DD"/>
    <w:rsid w:val="00E50C65"/>
    <w:rsid w:val="00E5719E"/>
    <w:rsid w:val="00E62BA0"/>
    <w:rsid w:val="00E639B0"/>
    <w:rsid w:val="00E65F4A"/>
    <w:rsid w:val="00E757AA"/>
    <w:rsid w:val="00E9645E"/>
    <w:rsid w:val="00EA2BDD"/>
    <w:rsid w:val="00EA7622"/>
    <w:rsid w:val="00EB2CEB"/>
    <w:rsid w:val="00EB50CE"/>
    <w:rsid w:val="00EB661B"/>
    <w:rsid w:val="00EB7C6F"/>
    <w:rsid w:val="00EC18FC"/>
    <w:rsid w:val="00EC4B40"/>
    <w:rsid w:val="00EC54DF"/>
    <w:rsid w:val="00ED4B9A"/>
    <w:rsid w:val="00EE4086"/>
    <w:rsid w:val="00EE426A"/>
    <w:rsid w:val="00EF2556"/>
    <w:rsid w:val="00F021DE"/>
    <w:rsid w:val="00F06EDC"/>
    <w:rsid w:val="00F17A54"/>
    <w:rsid w:val="00F321D7"/>
    <w:rsid w:val="00F37D89"/>
    <w:rsid w:val="00F40006"/>
    <w:rsid w:val="00F40DC2"/>
    <w:rsid w:val="00F54D80"/>
    <w:rsid w:val="00F6147A"/>
    <w:rsid w:val="00F66FA4"/>
    <w:rsid w:val="00F706DE"/>
    <w:rsid w:val="00F75315"/>
    <w:rsid w:val="00F9362C"/>
    <w:rsid w:val="00F950CE"/>
    <w:rsid w:val="00FA0271"/>
    <w:rsid w:val="00FB73FA"/>
    <w:rsid w:val="00FC1F74"/>
    <w:rsid w:val="00FF5E18"/>
    <w:rsid w:val="00FF7CC3"/>
    <w:rsid w:val="0CBDB59A"/>
    <w:rsid w:val="14E502AF"/>
    <w:rsid w:val="22414B97"/>
    <w:rsid w:val="30AF5AAA"/>
    <w:rsid w:val="392F6B23"/>
    <w:rsid w:val="564C2CD0"/>
    <w:rsid w:val="5D055B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asciiTheme="minorHAnsi" w:hAnsiTheme="minorHAnsi" w:eastAsiaTheme="minorEastAsia"/>
      <w:kern w:val="0"/>
      <w:sz w:val="24"/>
      <w:szCs w:val="24"/>
    </w:rPr>
  </w:style>
  <w:style w:type="character" w:customStyle="1" w:styleId="8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205</Words>
  <Characters>1169</Characters>
  <Lines>9</Lines>
  <Paragraphs>2</Paragraphs>
  <TotalTime>0</TotalTime>
  <ScaleCrop>false</ScaleCrop>
  <LinksUpToDate>false</LinksUpToDate>
  <CharactersWithSpaces>1372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2021-02-09T20:08:00Z</dcterms:created>
  <dc:creator>张振旺</dc:creator>
  <cp:lastModifiedBy>uos</cp:lastModifiedBy>
  <cp:lastPrinted>2018-01-31T11:46:00Z</cp:lastPrinted>
  <dcterms:modified xsi:type="dcterms:W3CDTF">2021-02-10T18:05:30Z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