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方正小标宋_GBK" w:cs="Times New Roman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  <w:r>
        <w:rPr>
          <w:rFonts w:hint="eastAsia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</w:t>
      </w: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海南省省级“揭榜挂帅”第一批榜单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600" w:firstLineChars="5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tbl>
      <w:tblPr>
        <w:tblStyle w:val="3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7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7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榜单名称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exact"/>
          <w:jc w:val="center"/>
        </w:trPr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7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加快推进海南省社会信用体系建设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7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深化推进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综合行政执法体制改革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7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建立“准入即准营”制度体系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7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推进数据共享，推动实现政务服务“零跑动”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7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机器管招投标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7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知识产权制度集成创新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7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开展赤田水库流域生态补偿机制创新试点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7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建立“土地超市”制度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23433A"/>
    <w:rsid w:val="2823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2022-04-11T10:28:00Z</dcterms:created>
  <dc:creator>阎博昕_</dc:creator>
  <cp:lastModifiedBy>阎博昕_</cp:lastModifiedBy>
  <dcterms:modified xsi:type="dcterms:W3CDTF">2022-04-11T10:29:06Z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E2615E9CD5784DA098AC6194D4BCA729</vt:lpwstr>
  </property>
</Properties>
</file>