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spacing w:line="576" w:lineRule="exact"/>
        <w:jc w:val="center"/>
        <w:rPr>
          <w:rFonts w:hint="eastAsia" w:ascii="黑体" w:hAnsi="ˎ̥" w:eastAsia="黑体" w:cs="宋体"/>
          <w:kern w:val="0"/>
          <w:sz w:val="44"/>
          <w:szCs w:val="44"/>
        </w:rPr>
      </w:pPr>
    </w:p>
    <w:p>
      <w:pPr>
        <w:widowControl/>
        <w:spacing w:line="576" w:lineRule="exact"/>
        <w:jc w:val="center"/>
        <w:rPr>
          <w:rFonts w:hint="eastAsia" w:ascii="黑体" w:hAnsi="ˎ̥" w:eastAsia="黑体" w:cs="宋体"/>
          <w:kern w:val="0"/>
          <w:sz w:val="44"/>
          <w:szCs w:val="44"/>
        </w:rPr>
      </w:pPr>
    </w:p>
    <w:p>
      <w:pPr>
        <w:widowControl/>
        <w:spacing w:line="576" w:lineRule="exact"/>
        <w:jc w:val="center"/>
        <w:rPr>
          <w:rFonts w:hint="eastAsia" w:ascii="黑体" w:hAnsi="ˎ̥" w:eastAsia="黑体" w:cs="宋体"/>
          <w:kern w:val="0"/>
          <w:sz w:val="44"/>
          <w:szCs w:val="44"/>
        </w:rPr>
      </w:pPr>
    </w:p>
    <w:p>
      <w:pPr>
        <w:widowControl/>
        <w:spacing w:line="576" w:lineRule="exact"/>
        <w:jc w:val="center"/>
        <w:rPr>
          <w:rFonts w:hint="eastAsia" w:ascii="黑体" w:hAnsi="ˎ̥" w:eastAsia="黑体" w:cs="宋体"/>
          <w:kern w:val="0"/>
          <w:sz w:val="44"/>
          <w:szCs w:val="44"/>
        </w:rPr>
      </w:pPr>
    </w:p>
    <w:p>
      <w:pPr>
        <w:widowControl/>
        <w:spacing w:line="576" w:lineRule="exact"/>
        <w:jc w:val="center"/>
        <w:rPr>
          <w:rFonts w:hint="eastAsia" w:ascii="黑体" w:hAnsi="ˎ̥" w:eastAsia="黑体" w:cs="宋体"/>
          <w:kern w:val="0"/>
          <w:sz w:val="44"/>
          <w:szCs w:val="44"/>
        </w:rPr>
      </w:pPr>
    </w:p>
    <w:p>
      <w:pPr>
        <w:widowControl/>
        <w:jc w:val="center"/>
        <w:rPr>
          <w:rFonts w:hint="eastAsia" w:ascii="黑体" w:hAnsi="ˎ̥" w:eastAsia="黑体" w:cs="宋体"/>
          <w:kern w:val="0"/>
          <w:sz w:val="44"/>
          <w:szCs w:val="44"/>
        </w:rPr>
      </w:pPr>
    </w:p>
    <w:p>
      <w:pPr>
        <w:widowControl/>
        <w:jc w:val="center"/>
        <w:rPr>
          <w:rFonts w:hint="eastAsia" w:ascii="方正小标宋简体" w:hAnsi="ˎ̥" w:eastAsia="方正小标宋简体" w:cs="宋体"/>
          <w:kern w:val="0"/>
          <w:sz w:val="72"/>
          <w:szCs w:val="72"/>
        </w:rPr>
      </w:pPr>
      <w:r>
        <w:rPr>
          <w:rFonts w:hint="eastAsia" w:ascii="方正小标宋简体" w:hAnsi="ˎ̥" w:eastAsia="方正小标宋简体" w:cs="宋体"/>
          <w:kern w:val="0"/>
          <w:sz w:val="72"/>
          <w:szCs w:val="72"/>
        </w:rPr>
        <w:t>海南省</w:t>
      </w:r>
      <w:r>
        <w:rPr>
          <w:rFonts w:hint="eastAsia" w:ascii="方正小标宋简体" w:hAnsi="ˎ̥" w:eastAsia="方正小标宋简体" w:cs="宋体"/>
          <w:kern w:val="0"/>
          <w:sz w:val="72"/>
          <w:szCs w:val="72"/>
          <w:lang w:eastAsia="zh-CN"/>
        </w:rPr>
        <w:t>财政厅</w:t>
      </w:r>
    </w:p>
    <w:p>
      <w:pPr>
        <w:widowControl/>
        <w:jc w:val="center"/>
        <w:rPr>
          <w:rFonts w:hint="eastAsia" w:ascii="方正小标宋简体" w:hAnsi="ˎ̥" w:eastAsia="方正小标宋简体" w:cs="宋体"/>
          <w:kern w:val="0"/>
          <w:sz w:val="72"/>
          <w:szCs w:val="72"/>
        </w:rPr>
      </w:pPr>
      <w:r>
        <w:rPr>
          <w:rFonts w:hint="eastAsia" w:ascii="方正小标宋简体" w:hAnsi="ˎ̥" w:eastAsia="方正小标宋简体" w:cs="宋体"/>
          <w:kern w:val="0"/>
          <w:sz w:val="72"/>
          <w:szCs w:val="72"/>
        </w:rPr>
        <w:t>2016年度部门决算</w:t>
      </w:r>
    </w:p>
    <w:p>
      <w:pPr>
        <w:widowControl/>
        <w:jc w:val="center"/>
        <w:rPr>
          <w:rFonts w:hint="eastAsia" w:ascii="方正小标宋简体" w:hAnsi="ˎ̥" w:eastAsia="方正小标宋简体" w:cs="宋体"/>
          <w:kern w:val="0"/>
          <w:sz w:val="72"/>
          <w:szCs w:val="72"/>
        </w:rPr>
      </w:pPr>
    </w:p>
    <w:p>
      <w:pPr>
        <w:widowControl/>
        <w:spacing w:line="576" w:lineRule="exact"/>
        <w:jc w:val="center"/>
        <w:rPr>
          <w:rFonts w:hint="eastAsia" w:ascii="黑体" w:hAnsi="ˎ̥" w:eastAsia="黑体" w:cs="宋体"/>
          <w:kern w:val="0"/>
          <w:sz w:val="44"/>
          <w:szCs w:val="44"/>
        </w:rPr>
      </w:pPr>
    </w:p>
    <w:p>
      <w:pPr>
        <w:widowControl/>
        <w:spacing w:line="576" w:lineRule="exact"/>
        <w:jc w:val="center"/>
        <w:rPr>
          <w:rFonts w:hint="eastAsia" w:ascii="黑体" w:hAnsi="ˎ̥" w:eastAsia="黑体" w:cs="宋体"/>
          <w:kern w:val="0"/>
          <w:sz w:val="44"/>
          <w:szCs w:val="44"/>
        </w:rPr>
      </w:pPr>
    </w:p>
    <w:p>
      <w:pPr>
        <w:widowControl/>
        <w:spacing w:line="576" w:lineRule="exact"/>
        <w:jc w:val="center"/>
        <w:rPr>
          <w:rFonts w:hint="eastAsia" w:ascii="黑体" w:hAnsi="ˎ̥" w:eastAsia="黑体" w:cs="宋体"/>
          <w:kern w:val="0"/>
          <w:sz w:val="44"/>
          <w:szCs w:val="44"/>
        </w:rPr>
      </w:pPr>
    </w:p>
    <w:p>
      <w:pPr>
        <w:widowControl/>
        <w:spacing w:line="576" w:lineRule="exact"/>
        <w:jc w:val="center"/>
        <w:rPr>
          <w:rFonts w:hint="eastAsia" w:ascii="黑体" w:hAnsi="ˎ̥" w:eastAsia="黑体" w:cs="宋体"/>
          <w:kern w:val="0"/>
          <w:sz w:val="44"/>
          <w:szCs w:val="44"/>
        </w:rPr>
      </w:pPr>
    </w:p>
    <w:p>
      <w:pPr>
        <w:widowControl/>
        <w:spacing w:line="576" w:lineRule="exact"/>
        <w:jc w:val="center"/>
        <w:rPr>
          <w:rFonts w:hint="eastAsia" w:ascii="黑体" w:hAnsi="ˎ̥" w:eastAsia="黑体" w:cs="宋体"/>
          <w:kern w:val="0"/>
          <w:sz w:val="44"/>
          <w:szCs w:val="44"/>
        </w:rPr>
      </w:pPr>
    </w:p>
    <w:p>
      <w:pPr>
        <w:widowControl/>
        <w:spacing w:line="576" w:lineRule="exact"/>
        <w:jc w:val="center"/>
        <w:rPr>
          <w:rFonts w:hint="eastAsia" w:ascii="黑体" w:hAnsi="ˎ̥" w:eastAsia="黑体" w:cs="宋体"/>
          <w:kern w:val="0"/>
          <w:sz w:val="44"/>
          <w:szCs w:val="44"/>
        </w:rPr>
      </w:pPr>
    </w:p>
    <w:p>
      <w:pPr>
        <w:widowControl/>
        <w:spacing w:line="576" w:lineRule="exact"/>
        <w:jc w:val="center"/>
        <w:rPr>
          <w:rFonts w:hint="eastAsia" w:ascii="黑体" w:hAnsi="ˎ̥" w:eastAsia="黑体" w:cs="宋体"/>
          <w:kern w:val="0"/>
          <w:sz w:val="44"/>
          <w:szCs w:val="44"/>
        </w:rPr>
      </w:pPr>
    </w:p>
    <w:p>
      <w:pPr>
        <w:widowControl/>
        <w:spacing w:line="576" w:lineRule="exact"/>
        <w:jc w:val="center"/>
        <w:rPr>
          <w:rFonts w:hint="eastAsia" w:ascii="黑体" w:hAnsi="ˎ̥" w:eastAsia="黑体" w:cs="宋体"/>
          <w:kern w:val="0"/>
          <w:sz w:val="44"/>
          <w:szCs w:val="44"/>
        </w:rPr>
      </w:pPr>
    </w:p>
    <w:p>
      <w:pPr>
        <w:pStyle w:val="5"/>
        <w:wordWrap/>
        <w:adjustRightInd/>
        <w:snapToGrid w:val="0"/>
        <w:spacing w:line="600" w:lineRule="exact"/>
        <w:ind w:right="0"/>
        <w:contextualSpacing/>
        <w:jc w:val="both"/>
        <w:textAlignment w:val="auto"/>
        <w:outlineLvl w:val="9"/>
        <w:rPr>
          <w:rFonts w:hint="default" w:ascii="Times New Roman" w:hAnsi="Times New Roman" w:cs="Times New Roman"/>
          <w:sz w:val="44"/>
          <w:szCs w:val="44"/>
        </w:rPr>
      </w:pPr>
    </w:p>
    <w:p>
      <w:pPr>
        <w:pStyle w:val="5"/>
        <w:wordWrap/>
        <w:adjustRightInd/>
        <w:snapToGrid w:val="0"/>
        <w:spacing w:line="600" w:lineRule="exact"/>
        <w:ind w:right="0"/>
        <w:contextualSpacing/>
        <w:jc w:val="both"/>
        <w:textAlignment w:val="auto"/>
        <w:outlineLvl w:val="9"/>
        <w:rPr>
          <w:rFonts w:hint="default" w:ascii="Times New Roman" w:hAnsi="Times New Roman" w:cs="Times New Roman"/>
          <w:sz w:val="44"/>
          <w:szCs w:val="44"/>
        </w:rPr>
      </w:pPr>
    </w:p>
    <w:p>
      <w:pPr>
        <w:pStyle w:val="5"/>
        <w:wordWrap/>
        <w:adjustRightInd/>
        <w:snapToGrid w:val="0"/>
        <w:spacing w:line="600" w:lineRule="exact"/>
        <w:ind w:right="0"/>
        <w:contextualSpacing/>
        <w:jc w:val="both"/>
        <w:textAlignment w:val="auto"/>
        <w:outlineLvl w:val="9"/>
        <w:rPr>
          <w:rFonts w:hint="default" w:ascii="Times New Roman" w:hAnsi="Times New Roman" w:cs="Times New Roman"/>
          <w:sz w:val="44"/>
          <w:szCs w:val="44"/>
        </w:rPr>
      </w:pPr>
    </w:p>
    <w:p>
      <w:pPr>
        <w:widowControl/>
        <w:spacing w:line="576" w:lineRule="exact"/>
        <w:jc w:val="center"/>
        <w:rPr>
          <w:rFonts w:hint="eastAsia" w:ascii="黑体" w:hAnsi="黑体" w:eastAsia="黑体" w:cs="宋体"/>
          <w:kern w:val="0"/>
          <w:sz w:val="44"/>
          <w:szCs w:val="44"/>
        </w:rPr>
      </w:pPr>
      <w:r>
        <w:rPr>
          <w:rFonts w:hint="eastAsia" w:ascii="黑体" w:hAnsi="黑体" w:eastAsia="黑体" w:cs="宋体"/>
          <w:kern w:val="0"/>
          <w:sz w:val="44"/>
          <w:szCs w:val="44"/>
        </w:rPr>
        <w:t>目  录</w:t>
      </w:r>
    </w:p>
    <w:p>
      <w:pPr>
        <w:widowControl/>
        <w:spacing w:line="576" w:lineRule="exact"/>
        <w:jc w:val="center"/>
        <w:rPr>
          <w:rFonts w:hint="eastAsia" w:ascii="黑体" w:hAnsi="黑体" w:eastAsia="黑体" w:cs="宋体"/>
          <w:kern w:val="0"/>
          <w:sz w:val="32"/>
          <w:szCs w:val="32"/>
        </w:rPr>
      </w:pPr>
    </w:p>
    <w:p>
      <w:pPr>
        <w:widowControl/>
        <w:jc w:val="left"/>
        <w:rPr>
          <w:rFonts w:hint="eastAsia" w:ascii="黑体" w:hAnsi="黑体" w:eastAsia="黑体" w:cs="宋体"/>
          <w:kern w:val="0"/>
          <w:sz w:val="32"/>
          <w:szCs w:val="32"/>
        </w:rPr>
      </w:pPr>
      <w:r>
        <w:rPr>
          <w:rFonts w:hint="eastAsia" w:ascii="黑体" w:hAnsi="黑体" w:eastAsia="黑体" w:cs="宋体"/>
          <w:kern w:val="0"/>
          <w:sz w:val="32"/>
          <w:szCs w:val="32"/>
        </w:rPr>
        <w:t>第一部分 部门概况</w:t>
      </w:r>
    </w:p>
    <w:p>
      <w:pPr>
        <w:widowControl/>
        <w:jc w:val="left"/>
        <w:rPr>
          <w:rFonts w:hint="eastAsia" w:ascii="仿宋_GB2312" w:hAnsi="黑体" w:eastAsia="仿宋_GB2312" w:cs="宋体"/>
          <w:kern w:val="0"/>
          <w:sz w:val="32"/>
          <w:szCs w:val="32"/>
        </w:rPr>
      </w:pPr>
      <w:r>
        <w:rPr>
          <w:rFonts w:hint="eastAsia" w:ascii="仿宋_GB2312" w:hAnsi="黑体" w:eastAsia="仿宋_GB2312" w:cs="宋体"/>
          <w:kern w:val="0"/>
          <w:sz w:val="32"/>
          <w:szCs w:val="32"/>
        </w:rPr>
        <w:t>一、</w:t>
      </w:r>
      <w:r>
        <w:rPr>
          <w:rFonts w:hint="default" w:ascii="Times New Roman" w:hAnsi="Times New Roman" w:eastAsia="楷体" w:cs="Times New Roman"/>
          <w:sz w:val="32"/>
          <w:szCs w:val="32"/>
        </w:rPr>
        <w:t>部门（单位）主要职能</w:t>
      </w:r>
    </w:p>
    <w:p>
      <w:pPr>
        <w:widowControl/>
        <w:jc w:val="left"/>
        <w:rPr>
          <w:rFonts w:hint="eastAsia" w:ascii="仿宋_GB2312" w:hAnsi="黑体" w:eastAsia="仿宋_GB2312" w:cs="宋体"/>
          <w:kern w:val="0"/>
          <w:sz w:val="32"/>
          <w:szCs w:val="32"/>
        </w:rPr>
      </w:pPr>
      <w:r>
        <w:rPr>
          <w:rFonts w:hint="eastAsia" w:ascii="仿宋_GB2312" w:hAnsi="黑体" w:eastAsia="仿宋_GB2312" w:cs="宋体"/>
          <w:kern w:val="0"/>
          <w:sz w:val="32"/>
          <w:szCs w:val="32"/>
        </w:rPr>
        <w:t>二、</w:t>
      </w:r>
      <w:r>
        <w:rPr>
          <w:rFonts w:hint="default" w:ascii="Times New Roman" w:hAnsi="Times New Roman" w:eastAsia="楷体" w:cs="Times New Roman"/>
          <w:sz w:val="32"/>
          <w:szCs w:val="32"/>
        </w:rPr>
        <w:t>部门决算单位构成</w:t>
      </w:r>
    </w:p>
    <w:p>
      <w:pPr>
        <w:widowControl/>
        <w:jc w:val="left"/>
        <w:rPr>
          <w:rFonts w:ascii="黑体" w:hAnsi="黑体" w:eastAsia="黑体" w:cs="宋体"/>
          <w:kern w:val="0"/>
          <w:sz w:val="24"/>
        </w:rPr>
      </w:pPr>
      <w:r>
        <w:rPr>
          <w:rFonts w:hint="eastAsia" w:ascii="黑体" w:hAnsi="黑体" w:eastAsia="黑体" w:cs="宋体"/>
          <w:kern w:val="0"/>
          <w:sz w:val="32"/>
          <w:szCs w:val="32"/>
        </w:rPr>
        <w:t>第二部分 2016年度部门决算报表</w:t>
      </w:r>
    </w:p>
    <w:p>
      <w:pPr>
        <w:widowControl/>
        <w:jc w:val="left"/>
        <w:rPr>
          <w:rFonts w:hint="eastAsia" w:ascii="仿宋_GB2312" w:hAnsi="ˎ̥" w:eastAsia="仿宋_GB2312" w:cs="宋体"/>
          <w:kern w:val="0"/>
          <w:sz w:val="32"/>
          <w:szCs w:val="32"/>
        </w:rPr>
      </w:pPr>
      <w:r>
        <w:rPr>
          <w:rFonts w:hint="eastAsia" w:ascii="仿宋_GB2312" w:hAnsi="ˎ̥" w:eastAsia="仿宋_GB2312" w:cs="宋体"/>
          <w:kern w:val="0"/>
          <w:sz w:val="32"/>
          <w:szCs w:val="32"/>
        </w:rPr>
        <w:t>一、 收入支出决算总表</w:t>
      </w:r>
    </w:p>
    <w:p>
      <w:pPr>
        <w:widowControl/>
        <w:jc w:val="left"/>
        <w:rPr>
          <w:rFonts w:hint="eastAsia" w:ascii="仿宋_GB2312" w:hAnsi="ˎ̥" w:eastAsia="仿宋_GB2312" w:cs="宋体"/>
          <w:kern w:val="0"/>
          <w:sz w:val="32"/>
          <w:szCs w:val="32"/>
        </w:rPr>
      </w:pPr>
      <w:r>
        <w:rPr>
          <w:rFonts w:hint="eastAsia" w:ascii="仿宋_GB2312" w:hAnsi="ˎ̥" w:eastAsia="仿宋_GB2312" w:cs="宋体"/>
          <w:kern w:val="0"/>
          <w:sz w:val="32"/>
          <w:szCs w:val="32"/>
        </w:rPr>
        <w:t>二、 收入决算表</w:t>
      </w:r>
    </w:p>
    <w:p>
      <w:pPr>
        <w:widowControl/>
        <w:jc w:val="left"/>
        <w:rPr>
          <w:rFonts w:hint="eastAsia" w:ascii="仿宋_GB2312" w:hAnsi="ˎ̥" w:eastAsia="仿宋_GB2312" w:cs="宋体"/>
          <w:kern w:val="0"/>
          <w:sz w:val="32"/>
          <w:szCs w:val="32"/>
        </w:rPr>
      </w:pPr>
      <w:r>
        <w:rPr>
          <w:rFonts w:hint="eastAsia" w:ascii="仿宋_GB2312" w:hAnsi="ˎ̥" w:eastAsia="仿宋_GB2312" w:cs="宋体"/>
          <w:kern w:val="0"/>
          <w:sz w:val="32"/>
          <w:szCs w:val="32"/>
        </w:rPr>
        <w:t>三、 支出决算表</w:t>
      </w:r>
    </w:p>
    <w:p>
      <w:pPr>
        <w:widowControl/>
        <w:jc w:val="left"/>
        <w:rPr>
          <w:rFonts w:hint="eastAsia" w:ascii="仿宋_GB2312" w:hAnsi="ˎ̥" w:eastAsia="仿宋_GB2312" w:cs="宋体"/>
          <w:kern w:val="0"/>
          <w:sz w:val="32"/>
          <w:szCs w:val="32"/>
        </w:rPr>
      </w:pPr>
      <w:r>
        <w:rPr>
          <w:rFonts w:hint="eastAsia" w:ascii="仿宋_GB2312" w:hAnsi="ˎ̥" w:eastAsia="仿宋_GB2312" w:cs="宋体"/>
          <w:kern w:val="0"/>
          <w:sz w:val="32"/>
          <w:szCs w:val="32"/>
        </w:rPr>
        <w:t>四、 财政拨款收入支出决算总表</w:t>
      </w:r>
    </w:p>
    <w:p>
      <w:pPr>
        <w:widowControl/>
        <w:jc w:val="left"/>
        <w:rPr>
          <w:rFonts w:ascii="宋体" w:hAnsi="宋体" w:cs="宋体"/>
          <w:kern w:val="0"/>
          <w:sz w:val="24"/>
        </w:rPr>
      </w:pPr>
      <w:r>
        <w:rPr>
          <w:rFonts w:hint="eastAsia" w:ascii="仿宋_GB2312" w:hAnsi="ˎ̥" w:eastAsia="仿宋_GB2312" w:cs="宋体"/>
          <w:kern w:val="0"/>
          <w:sz w:val="32"/>
          <w:szCs w:val="32"/>
        </w:rPr>
        <w:t>五、一般公共预算财政拨款收入支出决算表</w:t>
      </w:r>
    </w:p>
    <w:p>
      <w:pPr>
        <w:widowControl/>
        <w:jc w:val="left"/>
        <w:rPr>
          <w:rFonts w:hint="eastAsia" w:ascii="宋体" w:hAnsi="宋体" w:cs="宋体"/>
          <w:kern w:val="0"/>
          <w:sz w:val="24"/>
        </w:rPr>
      </w:pPr>
      <w:r>
        <w:rPr>
          <w:rFonts w:hint="eastAsia" w:ascii="仿宋_GB2312" w:hAnsi="ˎ̥" w:eastAsia="仿宋_GB2312" w:cs="宋体"/>
          <w:kern w:val="0"/>
          <w:sz w:val="32"/>
          <w:szCs w:val="32"/>
        </w:rPr>
        <w:t>六、一般公共预算财政拨款基本支出决算明细表</w:t>
      </w:r>
    </w:p>
    <w:p>
      <w:pPr>
        <w:widowControl/>
        <w:jc w:val="left"/>
        <w:rPr>
          <w:rFonts w:ascii="宋体" w:hAnsi="宋体" w:cs="宋体"/>
          <w:kern w:val="0"/>
          <w:sz w:val="24"/>
        </w:rPr>
      </w:pPr>
      <w:r>
        <w:rPr>
          <w:rFonts w:hint="eastAsia" w:ascii="仿宋_GB2312" w:hAnsi="ˎ̥" w:eastAsia="仿宋_GB2312" w:cs="宋体"/>
          <w:kern w:val="0"/>
          <w:sz w:val="32"/>
          <w:szCs w:val="32"/>
        </w:rPr>
        <w:t>七、政府性基金预算财政拨款收入支出决算表</w:t>
      </w:r>
    </w:p>
    <w:p>
      <w:pPr>
        <w:widowControl/>
        <w:jc w:val="left"/>
        <w:rPr>
          <w:rFonts w:hint="eastAsia" w:ascii="仿宋_GB2312" w:hAnsi="ˎ̥" w:eastAsia="仿宋_GB2312" w:cs="宋体"/>
          <w:kern w:val="0"/>
          <w:sz w:val="32"/>
          <w:szCs w:val="32"/>
        </w:rPr>
      </w:pPr>
      <w:r>
        <w:rPr>
          <w:rFonts w:hint="eastAsia" w:ascii="仿宋_GB2312" w:hAnsi="ˎ̥" w:eastAsia="仿宋_GB2312" w:cs="宋体"/>
          <w:kern w:val="0"/>
          <w:sz w:val="32"/>
          <w:szCs w:val="32"/>
        </w:rPr>
        <w:t>八、一般公共预算财政拨款“三公”经费支出等信息统计表</w:t>
      </w:r>
    </w:p>
    <w:p>
      <w:pPr>
        <w:widowControl/>
        <w:jc w:val="left"/>
        <w:rPr>
          <w:rFonts w:hint="eastAsia" w:ascii="黑体" w:hAnsi="黑体" w:eastAsia="黑体" w:cs="宋体"/>
          <w:kern w:val="0"/>
          <w:sz w:val="32"/>
          <w:szCs w:val="32"/>
        </w:rPr>
      </w:pPr>
      <w:r>
        <w:rPr>
          <w:rFonts w:hint="eastAsia" w:ascii="黑体" w:hAnsi="黑体" w:eastAsia="黑体" w:cs="宋体"/>
          <w:kern w:val="0"/>
          <w:sz w:val="32"/>
          <w:szCs w:val="32"/>
        </w:rPr>
        <w:t>第三部分 2016年度部门决算情况说明</w:t>
      </w:r>
    </w:p>
    <w:p>
      <w:pPr>
        <w:widowControl/>
        <w:jc w:val="left"/>
        <w:rPr>
          <w:rFonts w:ascii="黑体" w:hAnsi="黑体" w:eastAsia="黑体" w:cs="宋体"/>
          <w:kern w:val="0"/>
          <w:sz w:val="24"/>
        </w:rPr>
      </w:pPr>
      <w:r>
        <w:rPr>
          <w:rFonts w:hint="eastAsia" w:ascii="黑体" w:hAnsi="黑体" w:eastAsia="黑体" w:cs="宋体"/>
          <w:kern w:val="0"/>
          <w:sz w:val="32"/>
          <w:szCs w:val="32"/>
        </w:rPr>
        <w:t>第四部分 名词解释</w:t>
      </w:r>
    </w:p>
    <w:p>
      <w:pPr>
        <w:widowControl/>
        <w:spacing w:line="576" w:lineRule="exact"/>
        <w:jc w:val="left"/>
        <w:rPr>
          <w:rFonts w:hint="eastAsia" w:ascii="仿宋_GB2312" w:hAnsi="黑体" w:eastAsia="仿宋_GB2312" w:cs="宋体"/>
          <w:kern w:val="0"/>
          <w:sz w:val="32"/>
          <w:szCs w:val="32"/>
        </w:rPr>
      </w:pPr>
    </w:p>
    <w:p>
      <w:pPr>
        <w:widowControl/>
        <w:spacing w:line="576" w:lineRule="exact"/>
        <w:rPr>
          <w:rFonts w:hint="eastAsia" w:ascii="仿宋_GB2312" w:hAnsi="黑体" w:eastAsia="仿宋_GB2312" w:cs="宋体"/>
          <w:kern w:val="0"/>
          <w:sz w:val="32"/>
          <w:szCs w:val="32"/>
        </w:rPr>
      </w:pPr>
    </w:p>
    <w:p>
      <w:pPr>
        <w:pStyle w:val="5"/>
        <w:wordWrap/>
        <w:adjustRightInd/>
        <w:snapToGrid w:val="0"/>
        <w:spacing w:line="600" w:lineRule="exact"/>
        <w:ind w:right="0"/>
        <w:contextualSpacing/>
        <w:jc w:val="both"/>
        <w:textAlignment w:val="auto"/>
        <w:outlineLvl w:val="9"/>
        <w:rPr>
          <w:rFonts w:hint="default" w:ascii="Times New Roman" w:hAnsi="Times New Roman" w:cs="Times New Roman"/>
          <w:sz w:val="44"/>
          <w:szCs w:val="44"/>
        </w:rPr>
      </w:pPr>
    </w:p>
    <w:p>
      <w:pPr>
        <w:pStyle w:val="5"/>
        <w:wordWrap/>
        <w:adjustRightInd/>
        <w:snapToGrid w:val="0"/>
        <w:spacing w:line="600" w:lineRule="exact"/>
        <w:ind w:right="0"/>
        <w:contextualSpacing/>
        <w:jc w:val="both"/>
        <w:textAlignment w:val="auto"/>
        <w:outlineLvl w:val="9"/>
        <w:rPr>
          <w:rFonts w:hint="default" w:ascii="Times New Roman" w:hAnsi="Times New Roman" w:cs="Times New Roman"/>
          <w:sz w:val="44"/>
          <w:szCs w:val="44"/>
        </w:rPr>
      </w:pPr>
    </w:p>
    <w:p>
      <w:pPr>
        <w:pStyle w:val="5"/>
        <w:wordWrap/>
        <w:adjustRightInd/>
        <w:snapToGrid w:val="0"/>
        <w:spacing w:line="600" w:lineRule="exact"/>
        <w:ind w:right="0"/>
        <w:contextualSpacing/>
        <w:jc w:val="both"/>
        <w:textAlignment w:val="auto"/>
        <w:outlineLvl w:val="9"/>
        <w:rPr>
          <w:rFonts w:hint="default" w:ascii="Times New Roman" w:hAnsi="Times New Roman" w:cs="Times New Roman"/>
          <w:sz w:val="44"/>
          <w:szCs w:val="44"/>
        </w:rPr>
      </w:pPr>
    </w:p>
    <w:p>
      <w:pPr>
        <w:pStyle w:val="5"/>
        <w:wordWrap/>
        <w:adjustRightInd/>
        <w:snapToGrid w:val="0"/>
        <w:spacing w:line="600" w:lineRule="exact"/>
        <w:ind w:right="0"/>
        <w:contextualSpacing/>
        <w:jc w:val="both"/>
        <w:textAlignment w:val="auto"/>
        <w:outlineLvl w:val="9"/>
        <w:rPr>
          <w:rFonts w:hint="default" w:ascii="Times New Roman" w:hAnsi="Times New Roman" w:cs="Times New Roman"/>
          <w:sz w:val="44"/>
          <w:szCs w:val="44"/>
        </w:rPr>
      </w:pPr>
    </w:p>
    <w:p>
      <w:pPr>
        <w:pStyle w:val="5"/>
        <w:wordWrap/>
        <w:adjustRightInd/>
        <w:snapToGrid w:val="0"/>
        <w:spacing w:line="600" w:lineRule="exact"/>
        <w:ind w:right="0"/>
        <w:contextualSpacing/>
        <w:jc w:val="both"/>
        <w:textAlignment w:val="auto"/>
        <w:outlineLvl w:val="9"/>
        <w:rPr>
          <w:rFonts w:hint="default" w:ascii="Times New Roman" w:hAnsi="Times New Roman" w:cs="Times New Roman"/>
          <w:sz w:val="44"/>
          <w:szCs w:val="44"/>
        </w:rPr>
      </w:pPr>
      <w:r>
        <w:rPr>
          <w:rFonts w:hint="default" w:ascii="Times New Roman" w:hAnsi="Times New Roman" w:cs="Times New Roman"/>
          <w:sz w:val="44"/>
          <w:szCs w:val="44"/>
        </w:rPr>
        <w:t>海南省财政厅2016年度部门决算公开说明</w:t>
      </w:r>
    </w:p>
    <w:p>
      <w:pPr>
        <w:pStyle w:val="5"/>
        <w:wordWrap/>
        <w:adjustRightInd/>
        <w:snapToGrid w:val="0"/>
        <w:spacing w:line="600" w:lineRule="exact"/>
        <w:ind w:left="0" w:leftChars="0" w:right="0" w:firstLine="640" w:firstLineChars="200"/>
        <w:contextualSpacing/>
        <w:jc w:val="both"/>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b/>
          <w:bCs/>
          <w:sz w:val="32"/>
          <w:szCs w:val="32"/>
        </w:rPr>
        <w:t xml:space="preserve"> </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一、部门概况</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楷体" w:cs="Times New Roman"/>
          <w:sz w:val="32"/>
          <w:szCs w:val="32"/>
        </w:rPr>
      </w:pPr>
      <w:r>
        <w:rPr>
          <w:rFonts w:hint="default" w:ascii="Times New Roman" w:hAnsi="Times New Roman" w:eastAsia="楷体" w:cs="Times New Roman"/>
          <w:sz w:val="32"/>
          <w:szCs w:val="32"/>
        </w:rPr>
        <w:t>（一）部门（单位）主要职能</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省财政厅是省政府直属行政单位。主要肩负全省财政事业的工作任务。</w:t>
      </w:r>
      <w:r>
        <w:rPr>
          <w:rFonts w:hint="default" w:ascii="Times New Roman" w:hAnsi="Times New Roman" w:eastAsia="仿宋_GB2312" w:cs="Times New Roman"/>
          <w:color w:val="000000"/>
          <w:sz w:val="32"/>
          <w:szCs w:val="32"/>
        </w:rPr>
        <w:t>依法拟定并组织实施本省财政、财务和会计管理的政策、法规规章和发展规划、计划。</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楷体" w:cs="Times New Roman"/>
          <w:sz w:val="32"/>
          <w:szCs w:val="32"/>
        </w:rPr>
      </w:pPr>
      <w:r>
        <w:rPr>
          <w:rFonts w:hint="default" w:ascii="Times New Roman" w:hAnsi="Times New Roman" w:eastAsia="楷体" w:cs="Times New Roman"/>
          <w:sz w:val="32"/>
          <w:szCs w:val="32"/>
        </w:rPr>
        <w:t>（二）部门决算单位构成</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财政厅部门决算</w:t>
      </w:r>
      <w:r>
        <w:rPr>
          <w:rFonts w:hint="default" w:ascii="Times New Roman" w:hAnsi="Times New Roman" w:eastAsia="仿宋_GB2312" w:cs="Times New Roman"/>
          <w:color w:val="000000"/>
          <w:sz w:val="32"/>
          <w:szCs w:val="32"/>
        </w:rPr>
        <w:t>包括财政厅本级和省直单位会计管理中心、省财政信息中心、省财政票据建账监管中心、省注册会计师管理中心、省创业投资引导基金管理委员会办公室、省彩票管理中心等6家下属预算单位</w:t>
      </w:r>
      <w:r>
        <w:rPr>
          <w:rFonts w:hint="default" w:ascii="Times New Roman" w:hAnsi="Times New Roman" w:eastAsia="仿宋_GB2312" w:cs="Times New Roman"/>
          <w:sz w:val="32"/>
          <w:szCs w:val="32"/>
        </w:rPr>
        <w:t xml:space="preserve">。 </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二、2016年度部门决算报表</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楷体" w:cs="Times New Roman"/>
          <w:sz w:val="32"/>
          <w:szCs w:val="32"/>
        </w:rPr>
      </w:pPr>
      <w:r>
        <w:rPr>
          <w:rFonts w:hint="default" w:ascii="Times New Roman" w:hAnsi="Times New Roman" w:eastAsia="楷体" w:cs="Times New Roman"/>
          <w:sz w:val="32"/>
          <w:szCs w:val="32"/>
        </w:rPr>
        <w:t>（一）收入支出决算总表（见公开01表）</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楷体" w:cs="Times New Roman"/>
          <w:sz w:val="32"/>
          <w:szCs w:val="32"/>
        </w:rPr>
      </w:pPr>
      <w:r>
        <w:rPr>
          <w:rFonts w:hint="default" w:ascii="Times New Roman" w:hAnsi="Times New Roman" w:eastAsia="楷体" w:cs="Times New Roman"/>
          <w:sz w:val="32"/>
          <w:szCs w:val="32"/>
        </w:rPr>
        <w:t>（二）收入决算表（见公开02表）</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楷体" w:cs="Times New Roman"/>
          <w:sz w:val="32"/>
          <w:szCs w:val="32"/>
        </w:rPr>
      </w:pPr>
      <w:r>
        <w:rPr>
          <w:rFonts w:hint="default" w:ascii="Times New Roman" w:hAnsi="Times New Roman" w:eastAsia="楷体" w:cs="Times New Roman"/>
          <w:sz w:val="32"/>
          <w:szCs w:val="32"/>
        </w:rPr>
        <w:t>（三）支出决算表（见公开03表）</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楷体" w:cs="Times New Roman"/>
          <w:sz w:val="32"/>
          <w:szCs w:val="32"/>
        </w:rPr>
      </w:pPr>
      <w:r>
        <w:rPr>
          <w:rFonts w:hint="default" w:ascii="Times New Roman" w:hAnsi="Times New Roman" w:eastAsia="楷体" w:cs="Times New Roman"/>
          <w:sz w:val="32"/>
          <w:szCs w:val="32"/>
        </w:rPr>
        <w:t>（四）财政拨款收入支出决算总表（见公开04表）</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楷体" w:cs="Times New Roman"/>
          <w:sz w:val="32"/>
          <w:szCs w:val="32"/>
        </w:rPr>
      </w:pPr>
      <w:r>
        <w:rPr>
          <w:rFonts w:hint="default" w:ascii="Times New Roman" w:hAnsi="Times New Roman" w:eastAsia="楷体" w:cs="Times New Roman"/>
          <w:sz w:val="32"/>
          <w:szCs w:val="32"/>
        </w:rPr>
        <w:t>（五）一般公共预算财政拨款收入支出决算表（见公开05表）</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楷体" w:cs="Times New Roman"/>
          <w:sz w:val="32"/>
          <w:szCs w:val="32"/>
        </w:rPr>
      </w:pPr>
      <w:r>
        <w:rPr>
          <w:rFonts w:hint="default" w:ascii="Times New Roman" w:hAnsi="Times New Roman" w:eastAsia="楷体" w:cs="Times New Roman"/>
          <w:sz w:val="32"/>
          <w:szCs w:val="32"/>
        </w:rPr>
        <w:t>（六）一般公共预算财政拨款基本支出决算明细表（见公开06表）</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楷体" w:cs="Times New Roman"/>
          <w:sz w:val="32"/>
          <w:szCs w:val="32"/>
        </w:rPr>
      </w:pPr>
      <w:r>
        <w:rPr>
          <w:rFonts w:hint="default" w:ascii="Times New Roman" w:hAnsi="Times New Roman" w:eastAsia="楷体" w:cs="Times New Roman"/>
          <w:sz w:val="32"/>
          <w:szCs w:val="32"/>
        </w:rPr>
        <w:t>（七）政府性基金预算财政拨款收入支出决算表（见公开07表）</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楷体" w:cs="Times New Roman"/>
          <w:sz w:val="32"/>
          <w:szCs w:val="32"/>
        </w:rPr>
      </w:pPr>
      <w:r>
        <w:rPr>
          <w:rFonts w:hint="default" w:ascii="Times New Roman" w:hAnsi="Times New Roman" w:eastAsia="楷体" w:cs="Times New Roman"/>
          <w:sz w:val="32"/>
          <w:szCs w:val="32"/>
        </w:rPr>
        <w:t>（八）一般公共预算财政拨款“三公”经费支出等信息统计表（见公开08表）</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三、2016年度部门决算情况说明</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 w:cs="Times New Roman"/>
          <w:sz w:val="32"/>
          <w:szCs w:val="32"/>
        </w:rPr>
      </w:pPr>
      <w:r>
        <w:rPr>
          <w:rFonts w:hint="default" w:ascii="Times New Roman" w:hAnsi="Times New Roman" w:eastAsia="楷体" w:cs="Times New Roman"/>
          <w:sz w:val="32"/>
          <w:szCs w:val="32"/>
        </w:rPr>
        <w:t xml:space="preserve">（一）关于财政厅部门2016年度收入支出决算总体情况说明   </w:t>
      </w:r>
      <w:r>
        <w:rPr>
          <w:rFonts w:hint="default" w:ascii="Times New Roman" w:hAnsi="Times New Roman" w:eastAsia="仿宋" w:cs="Times New Roman"/>
          <w:sz w:val="32"/>
          <w:szCs w:val="32"/>
        </w:rPr>
        <w:t xml:space="preserve"> </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财政厅部门2016年度部门决算收入总计13,569.99万元，与2015年度相比，减少752.13万元，下降5.25%。主要原因：</w:t>
      </w:r>
      <w:r>
        <w:rPr>
          <w:rFonts w:hint="default" w:ascii="Times New Roman" w:hAnsi="Times New Roman" w:eastAsia="仿宋_GB2312" w:cs="Times New Roman"/>
          <w:sz w:val="32"/>
          <w:szCs w:val="32"/>
          <w:lang w:val="en-US" w:eastAsia="zh-CN"/>
        </w:rPr>
        <w:t>2016年较上年减少外交支出、公共安全支出等。</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支出总计14,149.31万元，与2015年度相比，增加319.05万元，增长</w:t>
      </w: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3</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%。主要原因：</w:t>
      </w:r>
      <w:r>
        <w:rPr>
          <w:rFonts w:hint="default" w:ascii="Times New Roman" w:hAnsi="Times New Roman" w:eastAsia="仿宋_GB2312" w:cs="Times New Roman"/>
          <w:sz w:val="32"/>
          <w:szCs w:val="32"/>
          <w:lang w:eastAsia="zh-CN"/>
        </w:rPr>
        <w:t>按规定使用上年度财政拨款结转项目资金，完成跨年度工作任务。</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 w:cs="Times New Roman"/>
          <w:sz w:val="32"/>
          <w:szCs w:val="32"/>
        </w:rPr>
      </w:pPr>
      <w:r>
        <w:rPr>
          <w:rFonts w:hint="default" w:ascii="Times New Roman" w:hAnsi="Times New Roman" w:eastAsia="楷体" w:cs="Times New Roman"/>
          <w:sz w:val="32"/>
          <w:szCs w:val="32"/>
        </w:rPr>
        <w:t xml:space="preserve">（二）关于财政厅部门2016年度收入决算情况说明 </w:t>
      </w:r>
      <w:r>
        <w:rPr>
          <w:rFonts w:hint="default" w:ascii="Times New Roman" w:hAnsi="Times New Roman" w:eastAsia="仿宋" w:cs="Times New Roman"/>
          <w:sz w:val="32"/>
          <w:szCs w:val="32"/>
        </w:rPr>
        <w:t xml:space="preserve">    </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本年收入合计13,569.99万元，其中：财政拨款收入13,478.18万元，占99.32%；其他收入91.81万元，占0.68%。</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楷体" w:cs="Times New Roman"/>
          <w:sz w:val="32"/>
          <w:szCs w:val="32"/>
        </w:rPr>
      </w:pPr>
      <w:r>
        <w:rPr>
          <w:rFonts w:hint="default" w:ascii="Times New Roman" w:hAnsi="Times New Roman" w:eastAsia="楷体" w:cs="Times New Roman"/>
          <w:sz w:val="32"/>
          <w:szCs w:val="32"/>
        </w:rPr>
        <w:t>（三）关于财政厅部门2016年度支出决算情况说明</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本年支出合计14,149.31万元，其中：基本支出6,870.05万元，占48.55%；项目支出7,279.26万元，占51.45%。</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楷体" w:cs="Times New Roman"/>
          <w:sz w:val="32"/>
          <w:szCs w:val="32"/>
        </w:rPr>
      </w:pPr>
      <w:r>
        <w:rPr>
          <w:rFonts w:hint="default" w:ascii="Times New Roman" w:hAnsi="Times New Roman" w:eastAsia="楷体" w:cs="Times New Roman"/>
          <w:sz w:val="32"/>
          <w:szCs w:val="32"/>
        </w:rPr>
        <w:t>（四）关于财政厅部门2016年度财政拨款收入支出决算总体情况说明</w:t>
      </w:r>
    </w:p>
    <w:p>
      <w:pPr>
        <w:pStyle w:val="5"/>
        <w:wordWrap/>
        <w:adjustRightInd/>
        <w:snapToGrid w:val="0"/>
        <w:spacing w:line="600" w:lineRule="exact"/>
        <w:ind w:left="0" w:leftChars="0" w:right="0" w:firstLine="640" w:firstLineChars="200"/>
        <w:contextualSpacing/>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财政厅部门2016年度财政拨款收入13,478.18万元，与2015年度相比，减少755.81万元，下降5.31%。</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财政拨款支出13,904.34万元，与2015年度相比，增加283.51万元，增长2.08%。</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楷体" w:cs="Times New Roman"/>
          <w:sz w:val="32"/>
          <w:szCs w:val="32"/>
        </w:rPr>
      </w:pPr>
      <w:r>
        <w:rPr>
          <w:rFonts w:hint="default" w:ascii="Times New Roman" w:hAnsi="Times New Roman" w:eastAsia="楷体" w:cs="Times New Roman"/>
          <w:sz w:val="32"/>
          <w:szCs w:val="32"/>
        </w:rPr>
        <w:t>（五）关于财政厅部门2016年度一般公共预算财政拨款支出决算情况说明</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1.一般公共预算财政拨款收入决算总体情况</w:t>
      </w:r>
      <w:r>
        <w:rPr>
          <w:rFonts w:hint="eastAsia" w:eastAsia="仿宋_GB2312" w:cs="Times New Roman"/>
          <w:b/>
          <w:bCs/>
          <w:sz w:val="32"/>
          <w:szCs w:val="32"/>
          <w:lang w:eastAsia="zh-CN"/>
        </w:rPr>
        <w:t>。</w:t>
      </w:r>
      <w:r>
        <w:rPr>
          <w:rFonts w:hint="default" w:ascii="Times New Roman" w:hAnsi="Times New Roman" w:eastAsia="仿宋_GB2312" w:cs="Times New Roman"/>
          <w:b/>
          <w:bCs/>
          <w:sz w:val="32"/>
          <w:szCs w:val="32"/>
        </w:rPr>
        <w:t xml:space="preserve"> </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财政厅部门2016年度一般公共预算财政拨款收入13,478.18万元。</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2.一般公共预算财政拨款支出决算总体情况</w:t>
      </w:r>
      <w:r>
        <w:rPr>
          <w:rFonts w:hint="eastAsia" w:eastAsia="仿宋_GB2312" w:cs="Times New Roman"/>
          <w:b/>
          <w:bCs/>
          <w:sz w:val="32"/>
          <w:szCs w:val="32"/>
          <w:lang w:eastAsia="zh-CN"/>
        </w:rPr>
        <w:t>。</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财政厅部门2016年度一般公共预算财政拨款支出13,904.34万元，占本年支出合计的98.27%。与2015年度相比，财政拨款支出</w:t>
      </w:r>
      <w:r>
        <w:rPr>
          <w:rFonts w:hint="default" w:ascii="Times New Roman" w:hAnsi="Times New Roman" w:eastAsia="仿宋_GB2312" w:cs="Times New Roman"/>
          <w:color w:val="000000"/>
          <w:sz w:val="32"/>
          <w:szCs w:val="32"/>
        </w:rPr>
        <w:t>增加3</w:t>
      </w:r>
      <w:r>
        <w:rPr>
          <w:rFonts w:hint="default" w:ascii="Times New Roman" w:hAnsi="Times New Roman" w:eastAsia="仿宋_GB2312" w:cs="Times New Roman"/>
          <w:sz w:val="32"/>
          <w:szCs w:val="32"/>
        </w:rPr>
        <w:t>22.92万元，增长2.38%。</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3.一般公共预算财政拨款支出决算结构情况</w:t>
      </w:r>
      <w:r>
        <w:rPr>
          <w:rFonts w:hint="eastAsia" w:eastAsia="仿宋_GB2312" w:cs="Times New Roman"/>
          <w:b/>
          <w:bCs/>
          <w:sz w:val="32"/>
          <w:szCs w:val="32"/>
          <w:lang w:eastAsia="zh-CN"/>
        </w:rPr>
        <w:t>。</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财政厅部门2016年度一般公共预算财政拨款支出13,904.34万元，主要用于以下方面：</w:t>
      </w:r>
      <w:r>
        <w:rPr>
          <w:rFonts w:hint="default" w:ascii="Times New Roman" w:hAnsi="Times New Roman" w:eastAsia="仿宋_GB2312" w:cs="Times New Roman"/>
          <w:b/>
          <w:bCs/>
          <w:sz w:val="32"/>
          <w:szCs w:val="32"/>
        </w:rPr>
        <w:t>一般公共服务（类）</w:t>
      </w:r>
      <w:r>
        <w:rPr>
          <w:rFonts w:hint="default" w:ascii="Times New Roman" w:hAnsi="Times New Roman" w:eastAsia="仿宋_GB2312" w:cs="Times New Roman"/>
          <w:sz w:val="32"/>
          <w:szCs w:val="32"/>
        </w:rPr>
        <w:t>支出11,865.31万元，占85.34%；</w:t>
      </w:r>
      <w:r>
        <w:rPr>
          <w:rFonts w:hint="default" w:ascii="Times New Roman" w:hAnsi="Times New Roman" w:eastAsia="仿宋_GB2312" w:cs="Times New Roman"/>
          <w:b/>
          <w:bCs/>
          <w:sz w:val="32"/>
          <w:szCs w:val="32"/>
        </w:rPr>
        <w:t>外交（类）</w:t>
      </w:r>
      <w:r>
        <w:rPr>
          <w:rFonts w:hint="default" w:ascii="Times New Roman" w:hAnsi="Times New Roman" w:eastAsia="仿宋_GB2312" w:cs="Times New Roman"/>
          <w:sz w:val="32"/>
          <w:szCs w:val="32"/>
        </w:rPr>
        <w:t>支出105.22万元，占0.76%；</w:t>
      </w:r>
      <w:r>
        <w:rPr>
          <w:rFonts w:hint="default" w:ascii="Times New Roman" w:hAnsi="Times New Roman" w:eastAsia="仿宋_GB2312" w:cs="Times New Roman"/>
          <w:b/>
          <w:bCs/>
          <w:sz w:val="32"/>
          <w:szCs w:val="32"/>
        </w:rPr>
        <w:t>公共安全（类）</w:t>
      </w:r>
      <w:r>
        <w:rPr>
          <w:rFonts w:hint="default" w:ascii="Times New Roman" w:hAnsi="Times New Roman" w:eastAsia="仿宋_GB2312" w:cs="Times New Roman"/>
          <w:sz w:val="32"/>
          <w:szCs w:val="32"/>
        </w:rPr>
        <w:t>支出134.17万元，占0.96%；</w:t>
      </w:r>
      <w:r>
        <w:rPr>
          <w:rFonts w:hint="default" w:ascii="Times New Roman" w:hAnsi="Times New Roman" w:eastAsia="仿宋_GB2312" w:cs="Times New Roman"/>
          <w:b/>
          <w:bCs/>
          <w:sz w:val="32"/>
          <w:szCs w:val="32"/>
        </w:rPr>
        <w:t>社会保障和就业（类）</w:t>
      </w:r>
      <w:r>
        <w:rPr>
          <w:rFonts w:hint="default" w:ascii="Times New Roman" w:hAnsi="Times New Roman" w:eastAsia="仿宋_GB2312" w:cs="Times New Roman"/>
          <w:sz w:val="32"/>
          <w:szCs w:val="32"/>
        </w:rPr>
        <w:t>支出743.73万元，占5.35%；</w:t>
      </w:r>
      <w:r>
        <w:rPr>
          <w:rFonts w:hint="default" w:ascii="Times New Roman" w:hAnsi="Times New Roman" w:eastAsia="仿宋_GB2312" w:cs="Times New Roman"/>
          <w:b/>
          <w:bCs/>
          <w:sz w:val="32"/>
          <w:szCs w:val="32"/>
        </w:rPr>
        <w:t>医疗卫生与计划生育（类）</w:t>
      </w:r>
      <w:r>
        <w:rPr>
          <w:rFonts w:hint="default" w:ascii="Times New Roman" w:hAnsi="Times New Roman" w:eastAsia="仿宋_GB2312" w:cs="Times New Roman"/>
          <w:sz w:val="32"/>
          <w:szCs w:val="32"/>
        </w:rPr>
        <w:t>支出151.86万元，占1.09%；</w:t>
      </w:r>
      <w:r>
        <w:rPr>
          <w:rFonts w:hint="default" w:ascii="Times New Roman" w:hAnsi="Times New Roman" w:eastAsia="仿宋_GB2312" w:cs="Times New Roman"/>
          <w:b/>
          <w:bCs/>
          <w:sz w:val="32"/>
          <w:szCs w:val="32"/>
        </w:rPr>
        <w:t>农林水（类）</w:t>
      </w:r>
      <w:r>
        <w:rPr>
          <w:rFonts w:hint="default" w:ascii="Times New Roman" w:hAnsi="Times New Roman" w:eastAsia="仿宋_GB2312" w:cs="Times New Roman"/>
          <w:sz w:val="32"/>
          <w:szCs w:val="32"/>
        </w:rPr>
        <w:t>支出10万元，占0.07%；</w:t>
      </w:r>
      <w:r>
        <w:rPr>
          <w:rFonts w:hint="default" w:ascii="Times New Roman" w:hAnsi="Times New Roman" w:eastAsia="仿宋_GB2312" w:cs="Times New Roman"/>
          <w:b/>
          <w:bCs/>
          <w:sz w:val="32"/>
          <w:szCs w:val="32"/>
        </w:rPr>
        <w:t>资源勘探信息（类）</w:t>
      </w:r>
      <w:r>
        <w:rPr>
          <w:rFonts w:hint="default" w:ascii="Times New Roman" w:hAnsi="Times New Roman" w:eastAsia="仿宋_GB2312" w:cs="Times New Roman"/>
          <w:sz w:val="32"/>
          <w:szCs w:val="32"/>
        </w:rPr>
        <w:t>支出7万元，占0.05%；</w:t>
      </w:r>
      <w:r>
        <w:rPr>
          <w:rFonts w:hint="default" w:ascii="Times New Roman" w:hAnsi="Times New Roman" w:eastAsia="仿宋_GB2312" w:cs="Times New Roman"/>
          <w:b/>
          <w:bCs/>
          <w:sz w:val="32"/>
          <w:szCs w:val="32"/>
        </w:rPr>
        <w:t>金融（类）</w:t>
      </w:r>
      <w:r>
        <w:rPr>
          <w:rFonts w:hint="default" w:ascii="Times New Roman" w:hAnsi="Times New Roman" w:eastAsia="仿宋_GB2312" w:cs="Times New Roman"/>
          <w:sz w:val="32"/>
          <w:szCs w:val="32"/>
        </w:rPr>
        <w:t>支出40.48万元，占0.29%；</w:t>
      </w:r>
      <w:r>
        <w:rPr>
          <w:rFonts w:hint="default" w:ascii="Times New Roman" w:hAnsi="Times New Roman" w:eastAsia="仿宋_GB2312" w:cs="Times New Roman"/>
          <w:b/>
          <w:bCs/>
          <w:sz w:val="32"/>
          <w:szCs w:val="32"/>
        </w:rPr>
        <w:t>住房保障（类）</w:t>
      </w:r>
      <w:r>
        <w:rPr>
          <w:rFonts w:hint="default" w:ascii="Times New Roman" w:hAnsi="Times New Roman" w:eastAsia="仿宋_GB2312" w:cs="Times New Roman"/>
          <w:sz w:val="32"/>
          <w:szCs w:val="32"/>
        </w:rPr>
        <w:t>支出555.98万元，占4%；</w:t>
      </w:r>
      <w:r>
        <w:rPr>
          <w:rFonts w:hint="default" w:ascii="Times New Roman" w:hAnsi="Times New Roman" w:eastAsia="仿宋_GB2312" w:cs="Times New Roman"/>
          <w:b/>
          <w:bCs/>
          <w:sz w:val="32"/>
          <w:szCs w:val="32"/>
        </w:rPr>
        <w:t>其他支出（类）</w:t>
      </w:r>
      <w:r>
        <w:rPr>
          <w:rFonts w:hint="default" w:ascii="Times New Roman" w:hAnsi="Times New Roman" w:eastAsia="仿宋_GB2312" w:cs="Times New Roman"/>
          <w:sz w:val="32"/>
          <w:szCs w:val="32"/>
        </w:rPr>
        <w:t>支出290.59万元，占2.09%。</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4.一般公共预算财政拨款支出决算具体情况。</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财政厅部门2016年度财政拨款支出年初预算为13,348.29万元，支出决算为13,904.34万元，完成年初预算的104.17%。决算数大于预算数的主要原因：</w:t>
      </w:r>
      <w:r>
        <w:rPr>
          <w:rFonts w:hint="default" w:ascii="Times New Roman" w:hAnsi="Times New Roman" w:eastAsia="仿宋_GB2312" w:cs="Times New Roman"/>
          <w:sz w:val="32"/>
          <w:szCs w:val="32"/>
          <w:lang w:eastAsia="zh-CN"/>
        </w:rPr>
        <w:t>一是</w:t>
      </w:r>
      <w:r>
        <w:rPr>
          <w:rFonts w:hint="default" w:ascii="Times New Roman" w:hAnsi="Times New Roman" w:eastAsia="仿宋_GB2312" w:cs="Times New Roman"/>
          <w:sz w:val="32"/>
          <w:szCs w:val="32"/>
        </w:rPr>
        <w:t>2016年基本工资标准调整，相应增加工资福利、社会保障缴费和绩效等支出</w:t>
      </w:r>
      <w:r>
        <w:rPr>
          <w:rFonts w:hint="default" w:ascii="Times New Roman" w:hAnsi="Times New Roman" w:eastAsia="仿宋_GB2312" w:cs="Times New Roman"/>
          <w:sz w:val="32"/>
          <w:szCs w:val="32"/>
          <w:lang w:eastAsia="zh-CN"/>
        </w:rPr>
        <w:t>；二是部分支出年初未申请财政拨款预算，而是按规定通过使用以前年度财政拨款结转资金解决，或年中因工作任务调整，追加预算</w:t>
      </w:r>
      <w:r>
        <w:rPr>
          <w:rFonts w:hint="default" w:ascii="Times New Roman" w:hAnsi="Times New Roman" w:eastAsia="仿宋_GB2312" w:cs="Times New Roman"/>
          <w:sz w:val="32"/>
          <w:szCs w:val="32"/>
        </w:rPr>
        <w:t>。</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（1）一般公共服务（类）财政事务（款）行政运行（项）。</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color w:val="auto"/>
          <w:sz w:val="32"/>
          <w:szCs w:val="32"/>
        </w:rPr>
        <w:t>年初预算为2</w:t>
      </w:r>
      <w:r>
        <w:rPr>
          <w:rFonts w:hint="default" w:ascii="Times New Roman" w:hAnsi="Times New Roman" w:eastAsia="仿宋_GB2312" w:cs="Times New Roman"/>
          <w:b w:val="0"/>
          <w:bCs w:val="0"/>
          <w:color w:val="auto"/>
          <w:sz w:val="32"/>
          <w:szCs w:val="32"/>
          <w:lang w:val="en-US" w:eastAsia="zh-CN"/>
        </w:rPr>
        <w:t>,</w:t>
      </w:r>
      <w:r>
        <w:rPr>
          <w:rFonts w:hint="default" w:ascii="Times New Roman" w:hAnsi="Times New Roman" w:eastAsia="仿宋_GB2312" w:cs="Times New Roman"/>
          <w:b w:val="0"/>
          <w:bCs w:val="0"/>
          <w:color w:val="auto"/>
          <w:sz w:val="32"/>
          <w:szCs w:val="32"/>
        </w:rPr>
        <w:t>340.34万元，支出决算为2</w:t>
      </w:r>
      <w:r>
        <w:rPr>
          <w:rFonts w:hint="default" w:ascii="Times New Roman" w:hAnsi="Times New Roman" w:eastAsia="仿宋_GB2312" w:cs="Times New Roman"/>
          <w:b w:val="0"/>
          <w:bCs w:val="0"/>
          <w:color w:val="auto"/>
          <w:sz w:val="32"/>
          <w:szCs w:val="32"/>
          <w:lang w:val="en-US" w:eastAsia="zh-CN"/>
        </w:rPr>
        <w:t>,</w:t>
      </w:r>
      <w:r>
        <w:rPr>
          <w:rFonts w:hint="default" w:ascii="Times New Roman" w:hAnsi="Times New Roman" w:eastAsia="仿宋_GB2312" w:cs="Times New Roman"/>
          <w:b w:val="0"/>
          <w:bCs w:val="0"/>
          <w:color w:val="auto"/>
          <w:sz w:val="32"/>
          <w:szCs w:val="32"/>
        </w:rPr>
        <w:t>386.11万元，</w:t>
      </w:r>
      <w:r>
        <w:rPr>
          <w:rFonts w:hint="default" w:ascii="Times New Roman" w:hAnsi="Times New Roman" w:eastAsia="仿宋_GB2312" w:cs="Times New Roman"/>
          <w:b w:val="0"/>
          <w:bCs w:val="0"/>
          <w:sz w:val="32"/>
          <w:szCs w:val="32"/>
        </w:rPr>
        <w:t>完成年初预算的</w:t>
      </w:r>
      <w:r>
        <w:rPr>
          <w:rFonts w:hint="default" w:ascii="Times New Roman" w:hAnsi="Times New Roman" w:eastAsia="仿宋_GB2312" w:cs="Times New Roman"/>
          <w:b w:val="0"/>
          <w:bCs w:val="0"/>
          <w:sz w:val="32"/>
          <w:szCs w:val="32"/>
          <w:lang w:val="en-US" w:eastAsia="zh-CN"/>
        </w:rPr>
        <w:t>101.96</w:t>
      </w:r>
      <w:r>
        <w:rPr>
          <w:rFonts w:hint="default" w:ascii="Times New Roman" w:hAnsi="Times New Roman" w:eastAsia="仿宋_GB2312" w:cs="Times New Roman"/>
          <w:b w:val="0"/>
          <w:bCs w:val="0"/>
          <w:sz w:val="32"/>
          <w:szCs w:val="32"/>
        </w:rPr>
        <w:t>%。</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（2）一般公共服务（类）财政事务（款）一般行政管理事务（项）</w:t>
      </w:r>
      <w:r>
        <w:rPr>
          <w:rFonts w:hint="eastAsia" w:eastAsia="仿宋_GB2312" w:cs="Times New Roman"/>
          <w:b w:val="0"/>
          <w:bCs w:val="0"/>
          <w:sz w:val="32"/>
          <w:szCs w:val="32"/>
          <w:lang w:eastAsia="zh-CN"/>
        </w:rPr>
        <w:t>。</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color w:val="auto"/>
          <w:sz w:val="32"/>
          <w:szCs w:val="32"/>
        </w:rPr>
        <w:t>年初预算为5</w:t>
      </w:r>
      <w:r>
        <w:rPr>
          <w:rFonts w:hint="default" w:ascii="Times New Roman" w:hAnsi="Times New Roman" w:eastAsia="仿宋_GB2312" w:cs="Times New Roman"/>
          <w:b w:val="0"/>
          <w:bCs w:val="0"/>
          <w:color w:val="auto"/>
          <w:sz w:val="32"/>
          <w:szCs w:val="32"/>
          <w:lang w:val="en-US" w:eastAsia="zh-CN"/>
        </w:rPr>
        <w:t>,</w:t>
      </w:r>
      <w:r>
        <w:rPr>
          <w:rFonts w:hint="default" w:ascii="Times New Roman" w:hAnsi="Times New Roman" w:eastAsia="仿宋_GB2312" w:cs="Times New Roman"/>
          <w:b w:val="0"/>
          <w:bCs w:val="0"/>
          <w:color w:val="auto"/>
          <w:sz w:val="32"/>
          <w:szCs w:val="32"/>
        </w:rPr>
        <w:t>732.59万元，支出决算为5</w:t>
      </w:r>
      <w:r>
        <w:rPr>
          <w:rFonts w:hint="default" w:ascii="Times New Roman" w:hAnsi="Times New Roman" w:eastAsia="仿宋_GB2312" w:cs="Times New Roman"/>
          <w:b w:val="0"/>
          <w:bCs w:val="0"/>
          <w:color w:val="auto"/>
          <w:sz w:val="32"/>
          <w:szCs w:val="32"/>
          <w:lang w:val="en-US" w:eastAsia="zh-CN"/>
        </w:rPr>
        <w:t>,</w:t>
      </w:r>
      <w:r>
        <w:rPr>
          <w:rFonts w:hint="default" w:ascii="Times New Roman" w:hAnsi="Times New Roman" w:eastAsia="仿宋_GB2312" w:cs="Times New Roman"/>
          <w:b w:val="0"/>
          <w:bCs w:val="0"/>
          <w:color w:val="auto"/>
          <w:sz w:val="32"/>
          <w:szCs w:val="32"/>
        </w:rPr>
        <w:t>938.67万元，</w:t>
      </w:r>
      <w:r>
        <w:rPr>
          <w:rFonts w:hint="default" w:ascii="Times New Roman" w:hAnsi="Times New Roman" w:eastAsia="仿宋_GB2312" w:cs="Times New Roman"/>
          <w:b w:val="0"/>
          <w:bCs w:val="0"/>
          <w:sz w:val="32"/>
          <w:szCs w:val="32"/>
        </w:rPr>
        <w:t>完成年初预算的103.59%。决算数</w:t>
      </w:r>
      <w:r>
        <w:rPr>
          <w:rFonts w:hint="default" w:ascii="Times New Roman" w:hAnsi="Times New Roman" w:eastAsia="仿宋_GB2312" w:cs="Times New Roman"/>
          <w:b w:val="0"/>
          <w:bCs w:val="0"/>
          <w:sz w:val="32"/>
          <w:szCs w:val="32"/>
          <w:lang w:eastAsia="zh-CN"/>
        </w:rPr>
        <w:t>大</w:t>
      </w:r>
      <w:r>
        <w:rPr>
          <w:rFonts w:hint="default" w:ascii="Times New Roman" w:hAnsi="Times New Roman" w:eastAsia="仿宋_GB2312" w:cs="Times New Roman"/>
          <w:b w:val="0"/>
          <w:bCs w:val="0"/>
          <w:sz w:val="32"/>
          <w:szCs w:val="32"/>
        </w:rPr>
        <w:t>于预算数的主要原因：</w:t>
      </w:r>
      <w:r>
        <w:rPr>
          <w:rFonts w:hint="default" w:ascii="Times New Roman" w:hAnsi="Times New Roman" w:eastAsia="仿宋_GB2312" w:cs="Times New Roman"/>
          <w:b w:val="0"/>
          <w:bCs w:val="0"/>
          <w:sz w:val="32"/>
          <w:szCs w:val="32"/>
          <w:lang w:eastAsia="zh-CN"/>
        </w:rPr>
        <w:t>部分支出年初未申请财政拨款预算，而是按规定通过使用以前年度财政拨款结转资金解决</w:t>
      </w:r>
      <w:r>
        <w:rPr>
          <w:rFonts w:hint="default" w:ascii="Times New Roman" w:hAnsi="Times New Roman" w:eastAsia="仿宋_GB2312" w:cs="Times New Roman"/>
          <w:b w:val="0"/>
          <w:bCs w:val="0"/>
          <w:sz w:val="32"/>
          <w:szCs w:val="32"/>
        </w:rPr>
        <w:t>。</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（3）一般公共服务（类）财政事务（款）财政国库业务（项）</w:t>
      </w:r>
      <w:r>
        <w:rPr>
          <w:rFonts w:hint="eastAsia" w:eastAsia="仿宋_GB2312" w:cs="Times New Roman"/>
          <w:b w:val="0"/>
          <w:bCs w:val="0"/>
          <w:sz w:val="32"/>
          <w:szCs w:val="32"/>
          <w:lang w:eastAsia="zh-CN"/>
        </w:rPr>
        <w:t>。</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color w:val="auto"/>
          <w:sz w:val="32"/>
          <w:szCs w:val="32"/>
        </w:rPr>
        <w:t>年初预算为444.14万元，支出决算为571.95万元，</w:t>
      </w:r>
      <w:r>
        <w:rPr>
          <w:rFonts w:hint="default" w:ascii="Times New Roman" w:hAnsi="Times New Roman" w:eastAsia="仿宋_GB2312" w:cs="Times New Roman"/>
          <w:b w:val="0"/>
          <w:bCs w:val="0"/>
          <w:sz w:val="32"/>
          <w:szCs w:val="32"/>
        </w:rPr>
        <w:t>完成年初预算的128.78%。决算数</w:t>
      </w:r>
      <w:r>
        <w:rPr>
          <w:rFonts w:hint="default" w:ascii="Times New Roman" w:hAnsi="Times New Roman" w:eastAsia="仿宋_GB2312" w:cs="Times New Roman"/>
          <w:b w:val="0"/>
          <w:bCs w:val="0"/>
          <w:sz w:val="32"/>
          <w:szCs w:val="32"/>
          <w:lang w:eastAsia="zh-CN"/>
        </w:rPr>
        <w:t>大</w:t>
      </w:r>
      <w:r>
        <w:rPr>
          <w:rFonts w:hint="default" w:ascii="Times New Roman" w:hAnsi="Times New Roman" w:eastAsia="仿宋_GB2312" w:cs="Times New Roman"/>
          <w:b w:val="0"/>
          <w:bCs w:val="0"/>
          <w:sz w:val="32"/>
          <w:szCs w:val="32"/>
        </w:rPr>
        <w:t>于预算数的主要原因：</w:t>
      </w:r>
      <w:r>
        <w:rPr>
          <w:rFonts w:hint="default" w:ascii="Times New Roman" w:hAnsi="Times New Roman" w:eastAsia="仿宋_GB2312" w:cs="Times New Roman"/>
          <w:b w:val="0"/>
          <w:bCs w:val="0"/>
          <w:sz w:val="32"/>
          <w:szCs w:val="32"/>
          <w:lang w:eastAsia="zh-CN"/>
        </w:rPr>
        <w:t>部分支出年初未申请财政拨款预算，而是按规定通过使用以前年度财政拨款结转资金解决</w:t>
      </w:r>
      <w:r>
        <w:rPr>
          <w:rFonts w:hint="default" w:ascii="Times New Roman" w:hAnsi="Times New Roman" w:eastAsia="仿宋_GB2312" w:cs="Times New Roman"/>
          <w:b w:val="0"/>
          <w:bCs w:val="0"/>
          <w:sz w:val="32"/>
          <w:szCs w:val="32"/>
        </w:rPr>
        <w:t>。</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（4）一般公共服务（类）财政事务（款）信息化建设（项）</w:t>
      </w:r>
      <w:r>
        <w:rPr>
          <w:rFonts w:hint="eastAsia" w:eastAsia="仿宋_GB2312" w:cs="Times New Roman"/>
          <w:b w:val="0"/>
          <w:bCs w:val="0"/>
          <w:sz w:val="32"/>
          <w:szCs w:val="32"/>
          <w:lang w:eastAsia="zh-CN"/>
        </w:rPr>
        <w:t>。</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color w:val="auto"/>
          <w:sz w:val="32"/>
          <w:szCs w:val="32"/>
        </w:rPr>
        <w:t>年初预算为358.78万元，支出决算为429.61万元，</w:t>
      </w:r>
      <w:r>
        <w:rPr>
          <w:rFonts w:hint="default" w:ascii="Times New Roman" w:hAnsi="Times New Roman" w:eastAsia="仿宋_GB2312" w:cs="Times New Roman"/>
          <w:b w:val="0"/>
          <w:bCs w:val="0"/>
          <w:sz w:val="32"/>
          <w:szCs w:val="32"/>
        </w:rPr>
        <w:t>完成年初预算的119.74%。决算数</w:t>
      </w:r>
      <w:r>
        <w:rPr>
          <w:rFonts w:hint="default" w:ascii="Times New Roman" w:hAnsi="Times New Roman" w:eastAsia="仿宋_GB2312" w:cs="Times New Roman"/>
          <w:b w:val="0"/>
          <w:bCs w:val="0"/>
          <w:sz w:val="32"/>
          <w:szCs w:val="32"/>
          <w:lang w:eastAsia="zh-CN"/>
        </w:rPr>
        <w:t>大</w:t>
      </w:r>
      <w:r>
        <w:rPr>
          <w:rFonts w:hint="default" w:ascii="Times New Roman" w:hAnsi="Times New Roman" w:eastAsia="仿宋_GB2312" w:cs="Times New Roman"/>
          <w:b w:val="0"/>
          <w:bCs w:val="0"/>
          <w:sz w:val="32"/>
          <w:szCs w:val="32"/>
        </w:rPr>
        <w:t>于预算数的主要原因：</w:t>
      </w:r>
      <w:r>
        <w:rPr>
          <w:rFonts w:hint="default" w:ascii="Times New Roman" w:hAnsi="Times New Roman" w:eastAsia="仿宋_GB2312" w:cs="Times New Roman"/>
          <w:b w:val="0"/>
          <w:bCs w:val="0"/>
          <w:sz w:val="32"/>
          <w:szCs w:val="32"/>
          <w:lang w:eastAsia="zh-CN"/>
        </w:rPr>
        <w:t>因业务需求变动影响，年中追加信息化建设项目经费</w:t>
      </w:r>
      <w:r>
        <w:rPr>
          <w:rFonts w:hint="default" w:ascii="Times New Roman" w:hAnsi="Times New Roman" w:eastAsia="仿宋_GB2312" w:cs="Times New Roman"/>
          <w:b w:val="0"/>
          <w:bCs w:val="0"/>
          <w:sz w:val="32"/>
          <w:szCs w:val="32"/>
        </w:rPr>
        <w:t>。</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（5）一般公共服务（类）财政事务（款）事业运行（项）</w:t>
      </w:r>
      <w:r>
        <w:rPr>
          <w:rFonts w:hint="eastAsia" w:eastAsia="仿宋_GB2312" w:cs="Times New Roman"/>
          <w:b w:val="0"/>
          <w:bCs w:val="0"/>
          <w:sz w:val="32"/>
          <w:szCs w:val="32"/>
          <w:lang w:eastAsia="zh-CN"/>
        </w:rPr>
        <w:t>。</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color w:val="auto"/>
          <w:sz w:val="32"/>
          <w:szCs w:val="32"/>
        </w:rPr>
        <w:t>年初预算为974.24万元，支出决算为944.28万元，</w:t>
      </w:r>
      <w:r>
        <w:rPr>
          <w:rFonts w:hint="default" w:ascii="Times New Roman" w:hAnsi="Times New Roman" w:eastAsia="仿宋_GB2312" w:cs="Times New Roman"/>
          <w:b w:val="0"/>
          <w:bCs w:val="0"/>
          <w:sz w:val="32"/>
          <w:szCs w:val="32"/>
        </w:rPr>
        <w:t>完成年初预算的96.92%。</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（6）一般公共服务（类）财政事务（款）其他财政事务支出（项）</w:t>
      </w:r>
      <w:r>
        <w:rPr>
          <w:rFonts w:hint="eastAsia" w:eastAsia="仿宋_GB2312" w:cs="Times New Roman"/>
          <w:b w:val="0"/>
          <w:bCs w:val="0"/>
          <w:sz w:val="32"/>
          <w:szCs w:val="32"/>
          <w:lang w:eastAsia="zh-CN"/>
        </w:rPr>
        <w:t>。</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color w:val="auto"/>
          <w:sz w:val="32"/>
          <w:szCs w:val="32"/>
        </w:rPr>
        <w:t>年初预算为2</w:t>
      </w:r>
      <w:r>
        <w:rPr>
          <w:rFonts w:hint="default" w:ascii="Times New Roman" w:hAnsi="Times New Roman" w:eastAsia="仿宋_GB2312" w:cs="Times New Roman"/>
          <w:b w:val="0"/>
          <w:bCs w:val="0"/>
          <w:color w:val="auto"/>
          <w:sz w:val="32"/>
          <w:szCs w:val="32"/>
          <w:lang w:val="en-US" w:eastAsia="zh-CN"/>
        </w:rPr>
        <w:t>,</w:t>
      </w:r>
      <w:r>
        <w:rPr>
          <w:rFonts w:hint="default" w:ascii="Times New Roman" w:hAnsi="Times New Roman" w:eastAsia="仿宋_GB2312" w:cs="Times New Roman"/>
          <w:b w:val="0"/>
          <w:bCs w:val="0"/>
          <w:color w:val="auto"/>
          <w:sz w:val="32"/>
          <w:szCs w:val="32"/>
        </w:rPr>
        <w:t>409.13万元，支出决算为1</w:t>
      </w:r>
      <w:r>
        <w:rPr>
          <w:rFonts w:hint="default" w:ascii="Times New Roman" w:hAnsi="Times New Roman" w:eastAsia="仿宋_GB2312" w:cs="Times New Roman"/>
          <w:b w:val="0"/>
          <w:bCs w:val="0"/>
          <w:color w:val="auto"/>
          <w:sz w:val="32"/>
          <w:szCs w:val="32"/>
          <w:lang w:val="en-US" w:eastAsia="zh-CN"/>
        </w:rPr>
        <w:t>,</w:t>
      </w:r>
      <w:r>
        <w:rPr>
          <w:rFonts w:hint="default" w:ascii="Times New Roman" w:hAnsi="Times New Roman" w:eastAsia="仿宋_GB2312" w:cs="Times New Roman"/>
          <w:b w:val="0"/>
          <w:bCs w:val="0"/>
          <w:color w:val="auto"/>
          <w:sz w:val="32"/>
          <w:szCs w:val="32"/>
        </w:rPr>
        <w:t>594.69万元，</w:t>
      </w:r>
      <w:r>
        <w:rPr>
          <w:rFonts w:hint="default" w:ascii="Times New Roman" w:hAnsi="Times New Roman" w:eastAsia="仿宋_GB2312" w:cs="Times New Roman"/>
          <w:b w:val="0"/>
          <w:bCs w:val="0"/>
          <w:sz w:val="32"/>
          <w:szCs w:val="32"/>
        </w:rPr>
        <w:t>完成年初预算的66.19%。决算数小于预算数的主要原因：</w:t>
      </w:r>
      <w:r>
        <w:rPr>
          <w:rFonts w:hint="default" w:ascii="Times New Roman" w:hAnsi="Times New Roman" w:eastAsia="仿宋_GB2312" w:cs="Times New Roman"/>
          <w:b w:val="0"/>
          <w:bCs w:val="0"/>
          <w:sz w:val="32"/>
          <w:szCs w:val="32"/>
          <w:lang w:eastAsia="zh-CN"/>
        </w:rPr>
        <w:t>因业务需求变动影响，年中预算调整根据实际工作需求调减项目经费预算</w:t>
      </w:r>
      <w:r>
        <w:rPr>
          <w:rFonts w:hint="default" w:ascii="Times New Roman" w:hAnsi="Times New Roman" w:eastAsia="仿宋_GB2312" w:cs="Times New Roman"/>
          <w:b w:val="0"/>
          <w:bCs w:val="0"/>
          <w:sz w:val="32"/>
          <w:szCs w:val="32"/>
        </w:rPr>
        <w:t>。</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b w:val="0"/>
          <w:bCs w:val="0"/>
          <w:color w:val="000000"/>
          <w:sz w:val="32"/>
          <w:szCs w:val="32"/>
        </w:rPr>
      </w:pPr>
      <w:r>
        <w:rPr>
          <w:rFonts w:hint="default" w:ascii="Times New Roman" w:hAnsi="Times New Roman" w:eastAsia="仿宋_GB2312" w:cs="Times New Roman"/>
          <w:b w:val="0"/>
          <w:bCs w:val="0"/>
          <w:color w:val="000000"/>
          <w:sz w:val="32"/>
          <w:szCs w:val="32"/>
        </w:rPr>
        <w:t>（7）外交支出（类）对外合作与交流（款）在华国际会议（项）</w:t>
      </w:r>
      <w:r>
        <w:rPr>
          <w:rFonts w:hint="eastAsia" w:eastAsia="仿宋_GB2312" w:cs="Times New Roman"/>
          <w:b w:val="0"/>
          <w:bCs w:val="0"/>
          <w:color w:val="000000"/>
          <w:sz w:val="32"/>
          <w:szCs w:val="32"/>
          <w:lang w:eastAsia="zh-CN"/>
        </w:rPr>
        <w:t>。</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b w:val="0"/>
          <w:bCs w:val="0"/>
          <w:color w:val="000000"/>
          <w:sz w:val="32"/>
          <w:szCs w:val="32"/>
        </w:rPr>
      </w:pPr>
      <w:r>
        <w:rPr>
          <w:rFonts w:hint="default" w:ascii="Times New Roman" w:hAnsi="Times New Roman" w:eastAsia="仿宋_GB2312" w:cs="Times New Roman"/>
          <w:b w:val="0"/>
          <w:bCs w:val="0"/>
          <w:color w:val="000000"/>
          <w:sz w:val="32"/>
          <w:szCs w:val="32"/>
        </w:rPr>
        <w:t>无年初预算，支出决算数为105.22万元，全部</w:t>
      </w:r>
      <w:r>
        <w:rPr>
          <w:rFonts w:hint="default" w:ascii="Times New Roman" w:hAnsi="Times New Roman" w:eastAsia="仿宋_GB2312" w:cs="Times New Roman"/>
          <w:b w:val="0"/>
          <w:bCs w:val="0"/>
          <w:color w:val="000000"/>
          <w:sz w:val="32"/>
          <w:szCs w:val="32"/>
          <w:lang w:eastAsia="zh-CN"/>
        </w:rPr>
        <w:t>是按规定通过使用上年度财政拨款结转资金解决</w:t>
      </w:r>
      <w:r>
        <w:rPr>
          <w:rFonts w:hint="default" w:ascii="Times New Roman" w:hAnsi="Times New Roman" w:eastAsia="仿宋_GB2312" w:cs="Times New Roman"/>
          <w:b w:val="0"/>
          <w:bCs w:val="0"/>
          <w:color w:val="000000"/>
          <w:sz w:val="32"/>
          <w:szCs w:val="32"/>
        </w:rPr>
        <w:t>。</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b w:val="0"/>
          <w:bCs w:val="0"/>
          <w:color w:val="000000"/>
          <w:sz w:val="32"/>
          <w:szCs w:val="32"/>
        </w:rPr>
      </w:pPr>
      <w:r>
        <w:rPr>
          <w:rFonts w:hint="default" w:ascii="Times New Roman" w:hAnsi="Times New Roman" w:eastAsia="仿宋_GB2312" w:cs="Times New Roman"/>
          <w:b w:val="0"/>
          <w:bCs w:val="0"/>
          <w:color w:val="000000"/>
          <w:sz w:val="32"/>
          <w:szCs w:val="32"/>
        </w:rPr>
        <w:t>（8）公共安全支出（类）其他公共安全支出（款）其他公共安全支出（项）</w:t>
      </w:r>
      <w:r>
        <w:rPr>
          <w:rFonts w:hint="eastAsia" w:eastAsia="仿宋_GB2312" w:cs="Times New Roman"/>
          <w:b w:val="0"/>
          <w:bCs w:val="0"/>
          <w:color w:val="000000"/>
          <w:sz w:val="32"/>
          <w:szCs w:val="32"/>
          <w:lang w:eastAsia="zh-CN"/>
        </w:rPr>
        <w:t>。</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b w:val="0"/>
          <w:bCs w:val="0"/>
          <w:color w:val="000000"/>
          <w:sz w:val="32"/>
          <w:szCs w:val="32"/>
        </w:rPr>
      </w:pPr>
      <w:r>
        <w:rPr>
          <w:rFonts w:hint="default" w:ascii="Times New Roman" w:hAnsi="Times New Roman" w:eastAsia="仿宋_GB2312" w:cs="Times New Roman"/>
          <w:b w:val="0"/>
          <w:bCs w:val="0"/>
          <w:color w:val="000000"/>
          <w:sz w:val="32"/>
          <w:szCs w:val="32"/>
        </w:rPr>
        <w:t>无年初预算，支出决算数为134.17万元，全部</w:t>
      </w:r>
      <w:r>
        <w:rPr>
          <w:rFonts w:hint="default" w:ascii="Times New Roman" w:hAnsi="Times New Roman" w:eastAsia="仿宋_GB2312" w:cs="Times New Roman"/>
          <w:b w:val="0"/>
          <w:bCs w:val="0"/>
          <w:color w:val="000000"/>
          <w:sz w:val="32"/>
          <w:szCs w:val="32"/>
          <w:lang w:eastAsia="zh-CN"/>
        </w:rPr>
        <w:t>是按规定通过使用上年度财政拨款结转资金解决</w:t>
      </w:r>
      <w:r>
        <w:rPr>
          <w:rFonts w:hint="default" w:ascii="Times New Roman" w:hAnsi="Times New Roman" w:eastAsia="仿宋_GB2312" w:cs="Times New Roman"/>
          <w:b w:val="0"/>
          <w:bCs w:val="0"/>
          <w:color w:val="000000"/>
          <w:sz w:val="32"/>
          <w:szCs w:val="32"/>
        </w:rPr>
        <w:t>。</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b w:val="0"/>
          <w:bCs w:val="0"/>
          <w:color w:val="000000"/>
          <w:sz w:val="32"/>
          <w:szCs w:val="32"/>
        </w:rPr>
      </w:pPr>
      <w:r>
        <w:rPr>
          <w:rFonts w:hint="default" w:ascii="Times New Roman" w:hAnsi="Times New Roman" w:eastAsia="仿宋_GB2312" w:cs="Times New Roman"/>
          <w:b w:val="0"/>
          <w:bCs w:val="0"/>
          <w:color w:val="000000"/>
          <w:sz w:val="32"/>
          <w:szCs w:val="32"/>
        </w:rPr>
        <w:t>（9）社会保障和就业支出（类）行政事业单位离退休（款）归口管理的行政单位离退休（项）等</w:t>
      </w:r>
      <w:r>
        <w:rPr>
          <w:rFonts w:hint="eastAsia" w:eastAsia="仿宋_GB2312" w:cs="Times New Roman"/>
          <w:b w:val="0"/>
          <w:bCs w:val="0"/>
          <w:color w:val="000000"/>
          <w:sz w:val="32"/>
          <w:szCs w:val="32"/>
          <w:lang w:eastAsia="zh-CN"/>
        </w:rPr>
        <w:t>。</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b w:val="0"/>
          <w:bCs w:val="0"/>
          <w:color w:val="000000"/>
          <w:sz w:val="32"/>
          <w:szCs w:val="32"/>
        </w:rPr>
      </w:pPr>
      <w:r>
        <w:rPr>
          <w:rFonts w:hint="default" w:ascii="Times New Roman" w:hAnsi="Times New Roman" w:eastAsia="仿宋_GB2312" w:cs="Times New Roman"/>
          <w:b w:val="0"/>
          <w:bCs w:val="0"/>
          <w:color w:val="000000"/>
          <w:sz w:val="32"/>
          <w:szCs w:val="32"/>
        </w:rPr>
        <w:t>年初预算为583.83万元，支出决算为743.72万元，完成年初预算的127.39%，决算数</w:t>
      </w:r>
      <w:r>
        <w:rPr>
          <w:rFonts w:hint="default" w:ascii="Times New Roman" w:hAnsi="Times New Roman" w:eastAsia="仿宋_GB2312" w:cs="Times New Roman"/>
          <w:b w:val="0"/>
          <w:bCs w:val="0"/>
          <w:color w:val="000000"/>
          <w:sz w:val="32"/>
          <w:szCs w:val="32"/>
          <w:lang w:eastAsia="zh-CN"/>
        </w:rPr>
        <w:t>大</w:t>
      </w:r>
      <w:r>
        <w:rPr>
          <w:rFonts w:hint="default" w:ascii="Times New Roman" w:hAnsi="Times New Roman" w:eastAsia="仿宋_GB2312" w:cs="Times New Roman"/>
          <w:b w:val="0"/>
          <w:bCs w:val="0"/>
          <w:color w:val="000000"/>
          <w:sz w:val="32"/>
          <w:szCs w:val="32"/>
        </w:rPr>
        <w:t>于预算数的主要原因：2016年</w:t>
      </w:r>
      <w:r>
        <w:rPr>
          <w:rFonts w:hint="default" w:ascii="Times New Roman" w:hAnsi="Times New Roman" w:eastAsia="仿宋_GB2312" w:cs="Times New Roman"/>
          <w:b w:val="0"/>
          <w:bCs w:val="0"/>
          <w:color w:val="000000"/>
          <w:sz w:val="32"/>
          <w:szCs w:val="32"/>
          <w:lang w:eastAsia="zh-CN"/>
        </w:rPr>
        <w:t>离退休费</w:t>
      </w:r>
      <w:r>
        <w:rPr>
          <w:rFonts w:hint="default" w:ascii="Times New Roman" w:hAnsi="Times New Roman" w:eastAsia="仿宋_GB2312" w:cs="Times New Roman"/>
          <w:b w:val="0"/>
          <w:bCs w:val="0"/>
          <w:color w:val="000000"/>
          <w:sz w:val="32"/>
          <w:szCs w:val="32"/>
        </w:rPr>
        <w:t>标准调整，</w:t>
      </w:r>
      <w:r>
        <w:rPr>
          <w:rFonts w:hint="default" w:ascii="Times New Roman" w:hAnsi="Times New Roman" w:eastAsia="仿宋_GB2312" w:cs="Times New Roman"/>
          <w:b w:val="0"/>
          <w:bCs w:val="0"/>
          <w:color w:val="000000"/>
          <w:sz w:val="32"/>
          <w:szCs w:val="32"/>
          <w:lang w:eastAsia="zh-CN"/>
        </w:rPr>
        <w:t>支出</w:t>
      </w:r>
      <w:r>
        <w:rPr>
          <w:rFonts w:hint="default" w:ascii="Times New Roman" w:hAnsi="Times New Roman" w:eastAsia="仿宋_GB2312" w:cs="Times New Roman"/>
          <w:b w:val="0"/>
          <w:bCs w:val="0"/>
          <w:color w:val="000000"/>
          <w:sz w:val="32"/>
          <w:szCs w:val="32"/>
        </w:rPr>
        <w:t>相应增加。</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b w:val="0"/>
          <w:bCs w:val="0"/>
          <w:color w:val="000000"/>
          <w:sz w:val="32"/>
          <w:szCs w:val="32"/>
        </w:rPr>
      </w:pPr>
      <w:r>
        <w:rPr>
          <w:rFonts w:hint="default" w:ascii="Times New Roman" w:hAnsi="Times New Roman" w:eastAsia="仿宋_GB2312" w:cs="Times New Roman"/>
          <w:b w:val="0"/>
          <w:bCs w:val="0"/>
          <w:color w:val="000000"/>
          <w:sz w:val="32"/>
          <w:szCs w:val="32"/>
        </w:rPr>
        <w:t>（10）医疗卫生与计划支出（类）医疗保障（款）归行政单位医疗（项）</w:t>
      </w:r>
      <w:r>
        <w:rPr>
          <w:rFonts w:hint="eastAsia" w:eastAsia="仿宋_GB2312" w:cs="Times New Roman"/>
          <w:b w:val="0"/>
          <w:bCs w:val="0"/>
          <w:color w:val="000000"/>
          <w:sz w:val="32"/>
          <w:szCs w:val="32"/>
          <w:lang w:eastAsia="zh-CN"/>
        </w:rPr>
        <w:t>。</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b w:val="0"/>
          <w:bCs w:val="0"/>
          <w:color w:val="000000"/>
          <w:sz w:val="32"/>
          <w:szCs w:val="32"/>
        </w:rPr>
      </w:pPr>
      <w:r>
        <w:rPr>
          <w:rFonts w:hint="default" w:ascii="Times New Roman" w:hAnsi="Times New Roman" w:eastAsia="仿宋_GB2312" w:cs="Times New Roman"/>
          <w:b w:val="0"/>
          <w:bCs w:val="0"/>
          <w:color w:val="000000"/>
          <w:sz w:val="32"/>
          <w:szCs w:val="32"/>
        </w:rPr>
        <w:t>年初预算为130.59万元万元，支出决算为138.81万元，完成年初预算的106.29%。决算数</w:t>
      </w:r>
      <w:r>
        <w:rPr>
          <w:rFonts w:hint="default" w:ascii="Times New Roman" w:hAnsi="Times New Roman" w:eastAsia="仿宋_GB2312" w:cs="Times New Roman"/>
          <w:b w:val="0"/>
          <w:bCs w:val="0"/>
          <w:color w:val="000000"/>
          <w:sz w:val="32"/>
          <w:szCs w:val="32"/>
          <w:lang w:eastAsia="zh-CN"/>
        </w:rPr>
        <w:t>大</w:t>
      </w:r>
      <w:r>
        <w:rPr>
          <w:rFonts w:hint="default" w:ascii="Times New Roman" w:hAnsi="Times New Roman" w:eastAsia="仿宋_GB2312" w:cs="Times New Roman"/>
          <w:b w:val="0"/>
          <w:bCs w:val="0"/>
          <w:color w:val="000000"/>
          <w:sz w:val="32"/>
          <w:szCs w:val="32"/>
        </w:rPr>
        <w:t>于预算数的主要原因：2016年基本工资标准调整，相应增加</w:t>
      </w:r>
      <w:r>
        <w:rPr>
          <w:rFonts w:hint="default" w:ascii="Times New Roman" w:hAnsi="Times New Roman" w:eastAsia="仿宋_GB2312" w:cs="Times New Roman"/>
          <w:b w:val="0"/>
          <w:bCs w:val="0"/>
          <w:color w:val="000000"/>
          <w:sz w:val="32"/>
          <w:szCs w:val="32"/>
          <w:lang w:eastAsia="zh-CN"/>
        </w:rPr>
        <w:t>医疗</w:t>
      </w:r>
      <w:r>
        <w:rPr>
          <w:rFonts w:hint="default" w:ascii="Times New Roman" w:hAnsi="Times New Roman" w:eastAsia="仿宋_GB2312" w:cs="Times New Roman"/>
          <w:b w:val="0"/>
          <w:bCs w:val="0"/>
          <w:color w:val="000000"/>
          <w:sz w:val="32"/>
          <w:szCs w:val="32"/>
        </w:rPr>
        <w:t>保障缴费支出。</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b w:val="0"/>
          <w:bCs w:val="0"/>
          <w:color w:val="000000"/>
          <w:sz w:val="32"/>
          <w:szCs w:val="32"/>
        </w:rPr>
      </w:pPr>
      <w:r>
        <w:rPr>
          <w:rFonts w:hint="default" w:ascii="Times New Roman" w:hAnsi="Times New Roman" w:eastAsia="仿宋_GB2312" w:cs="Times New Roman"/>
          <w:b w:val="0"/>
          <w:bCs w:val="0"/>
          <w:color w:val="000000"/>
          <w:sz w:val="32"/>
          <w:szCs w:val="32"/>
        </w:rPr>
        <w:t>（11）医疗卫生与计划支出（类）医疗保障（款）归事业单位医疗（项）</w:t>
      </w:r>
      <w:r>
        <w:rPr>
          <w:rFonts w:hint="eastAsia" w:eastAsia="仿宋_GB2312" w:cs="Times New Roman"/>
          <w:b w:val="0"/>
          <w:bCs w:val="0"/>
          <w:color w:val="000000"/>
          <w:sz w:val="32"/>
          <w:szCs w:val="32"/>
          <w:lang w:eastAsia="zh-CN"/>
        </w:rPr>
        <w:t>。</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b w:val="0"/>
          <w:bCs w:val="0"/>
          <w:color w:val="000000"/>
          <w:sz w:val="32"/>
          <w:szCs w:val="32"/>
        </w:rPr>
      </w:pPr>
      <w:r>
        <w:rPr>
          <w:rFonts w:hint="default" w:ascii="Times New Roman" w:hAnsi="Times New Roman" w:eastAsia="仿宋_GB2312" w:cs="Times New Roman"/>
          <w:b w:val="0"/>
          <w:bCs w:val="0"/>
          <w:color w:val="000000"/>
          <w:sz w:val="32"/>
          <w:szCs w:val="32"/>
        </w:rPr>
        <w:t>年初预算为12.06万元万元，支出决算为10.05万元，完成年初预算的83.33%。</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b w:val="0"/>
          <w:bCs w:val="0"/>
          <w:color w:val="000000"/>
          <w:sz w:val="32"/>
          <w:szCs w:val="32"/>
        </w:rPr>
      </w:pPr>
      <w:r>
        <w:rPr>
          <w:rFonts w:hint="default" w:ascii="Times New Roman" w:hAnsi="Times New Roman" w:eastAsia="仿宋_GB2312" w:cs="Times New Roman"/>
          <w:b w:val="0"/>
          <w:bCs w:val="0"/>
          <w:color w:val="000000"/>
          <w:sz w:val="32"/>
          <w:szCs w:val="32"/>
        </w:rPr>
        <w:t>（12）医疗卫生与计划支出（类）计划生育事务（款）其他计划生育事务支出（项）</w:t>
      </w:r>
      <w:r>
        <w:rPr>
          <w:rFonts w:hint="eastAsia" w:eastAsia="仿宋_GB2312" w:cs="Times New Roman"/>
          <w:b w:val="0"/>
          <w:bCs w:val="0"/>
          <w:color w:val="000000"/>
          <w:sz w:val="32"/>
          <w:szCs w:val="32"/>
          <w:lang w:eastAsia="zh-CN"/>
        </w:rPr>
        <w:t>。</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b w:val="0"/>
          <w:bCs w:val="0"/>
          <w:color w:val="000000"/>
          <w:sz w:val="32"/>
          <w:szCs w:val="32"/>
        </w:rPr>
      </w:pPr>
      <w:r>
        <w:rPr>
          <w:rFonts w:hint="default" w:ascii="Times New Roman" w:hAnsi="Times New Roman" w:eastAsia="仿宋_GB2312" w:cs="Times New Roman"/>
          <w:b w:val="0"/>
          <w:bCs w:val="0"/>
          <w:color w:val="000000"/>
          <w:sz w:val="32"/>
          <w:szCs w:val="32"/>
        </w:rPr>
        <w:t>无年初预算，支出决算数为3万元，决算数大于预算数的原因是年中</w:t>
      </w:r>
      <w:r>
        <w:rPr>
          <w:rFonts w:hint="default" w:ascii="Times New Roman" w:hAnsi="Times New Roman" w:eastAsia="仿宋_GB2312" w:cs="Times New Roman"/>
          <w:b w:val="0"/>
          <w:bCs w:val="0"/>
          <w:color w:val="000000"/>
          <w:sz w:val="32"/>
          <w:szCs w:val="32"/>
          <w:lang w:eastAsia="zh-CN"/>
        </w:rPr>
        <w:t>预算调整</w:t>
      </w:r>
      <w:r>
        <w:rPr>
          <w:rFonts w:hint="default" w:ascii="Times New Roman" w:hAnsi="Times New Roman" w:eastAsia="仿宋_GB2312" w:cs="Times New Roman"/>
          <w:b w:val="0"/>
          <w:bCs w:val="0"/>
          <w:color w:val="000000"/>
          <w:sz w:val="32"/>
          <w:szCs w:val="32"/>
        </w:rPr>
        <w:t>追加</w:t>
      </w:r>
      <w:r>
        <w:rPr>
          <w:rFonts w:hint="default" w:ascii="Times New Roman" w:hAnsi="Times New Roman" w:eastAsia="仿宋_GB2312" w:cs="Times New Roman"/>
          <w:b w:val="0"/>
          <w:bCs w:val="0"/>
          <w:color w:val="000000"/>
          <w:sz w:val="32"/>
          <w:szCs w:val="32"/>
          <w:lang w:eastAsia="zh-CN"/>
        </w:rPr>
        <w:t>，奖励计划生育先进单位</w:t>
      </w:r>
      <w:r>
        <w:rPr>
          <w:rFonts w:hint="default" w:ascii="Times New Roman" w:hAnsi="Times New Roman" w:eastAsia="仿宋_GB2312" w:cs="Times New Roman"/>
          <w:b w:val="0"/>
          <w:bCs w:val="0"/>
          <w:color w:val="000000"/>
          <w:sz w:val="32"/>
          <w:szCs w:val="32"/>
        </w:rPr>
        <w:t>。</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b w:val="0"/>
          <w:bCs w:val="0"/>
          <w:color w:val="000000"/>
          <w:sz w:val="32"/>
          <w:szCs w:val="32"/>
        </w:rPr>
      </w:pPr>
      <w:r>
        <w:rPr>
          <w:rFonts w:hint="default" w:ascii="Times New Roman" w:hAnsi="Times New Roman" w:eastAsia="仿宋_GB2312" w:cs="Times New Roman"/>
          <w:b w:val="0"/>
          <w:bCs w:val="0"/>
          <w:color w:val="000000"/>
          <w:sz w:val="32"/>
          <w:szCs w:val="32"/>
        </w:rPr>
        <w:t>（13）农林水支出（类）普惠金融发展支出（款）其他普惠金融发展支出（项）</w:t>
      </w:r>
      <w:r>
        <w:rPr>
          <w:rFonts w:hint="eastAsia" w:eastAsia="仿宋_GB2312" w:cs="Times New Roman"/>
          <w:b w:val="0"/>
          <w:bCs w:val="0"/>
          <w:color w:val="000000"/>
          <w:sz w:val="32"/>
          <w:szCs w:val="32"/>
          <w:lang w:eastAsia="zh-CN"/>
        </w:rPr>
        <w:t>。</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b w:val="0"/>
          <w:bCs w:val="0"/>
          <w:color w:val="000000"/>
          <w:sz w:val="32"/>
          <w:szCs w:val="32"/>
        </w:rPr>
      </w:pPr>
      <w:r>
        <w:rPr>
          <w:rFonts w:hint="default" w:ascii="Times New Roman" w:hAnsi="Times New Roman" w:eastAsia="仿宋_GB2312" w:cs="Times New Roman"/>
          <w:b w:val="0"/>
          <w:bCs w:val="0"/>
          <w:color w:val="000000"/>
          <w:sz w:val="32"/>
          <w:szCs w:val="32"/>
        </w:rPr>
        <w:t>无年初预算，支出决算数为10万元，决算数大于预算数的原因是</w:t>
      </w:r>
      <w:r>
        <w:rPr>
          <w:rFonts w:hint="default" w:ascii="Times New Roman" w:hAnsi="Times New Roman" w:eastAsia="仿宋_GB2312" w:cs="Times New Roman"/>
          <w:b w:val="0"/>
          <w:bCs w:val="0"/>
          <w:color w:val="000000"/>
          <w:sz w:val="32"/>
          <w:szCs w:val="32"/>
          <w:lang w:eastAsia="zh-CN"/>
        </w:rPr>
        <w:t>工作任务需求变动，</w:t>
      </w:r>
      <w:r>
        <w:rPr>
          <w:rFonts w:hint="default" w:ascii="Times New Roman" w:hAnsi="Times New Roman" w:eastAsia="仿宋_GB2312" w:cs="Times New Roman"/>
          <w:b w:val="0"/>
          <w:bCs w:val="0"/>
          <w:color w:val="000000"/>
          <w:sz w:val="32"/>
          <w:szCs w:val="32"/>
        </w:rPr>
        <w:t>年中</w:t>
      </w:r>
      <w:r>
        <w:rPr>
          <w:rFonts w:hint="default" w:ascii="Times New Roman" w:hAnsi="Times New Roman" w:eastAsia="仿宋_GB2312" w:cs="Times New Roman"/>
          <w:b w:val="0"/>
          <w:bCs w:val="0"/>
          <w:color w:val="000000"/>
          <w:sz w:val="32"/>
          <w:szCs w:val="32"/>
          <w:lang w:eastAsia="zh-CN"/>
        </w:rPr>
        <w:t>预算调整</w:t>
      </w:r>
      <w:r>
        <w:rPr>
          <w:rFonts w:hint="default" w:ascii="Times New Roman" w:hAnsi="Times New Roman" w:eastAsia="仿宋_GB2312" w:cs="Times New Roman"/>
          <w:b w:val="0"/>
          <w:bCs w:val="0"/>
          <w:color w:val="000000"/>
          <w:sz w:val="32"/>
          <w:szCs w:val="32"/>
        </w:rPr>
        <w:t>追加。</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b w:val="0"/>
          <w:bCs w:val="0"/>
          <w:color w:val="000000"/>
          <w:sz w:val="32"/>
          <w:szCs w:val="32"/>
        </w:rPr>
      </w:pPr>
      <w:r>
        <w:rPr>
          <w:rFonts w:hint="default" w:ascii="Times New Roman" w:hAnsi="Times New Roman" w:eastAsia="仿宋_GB2312" w:cs="Times New Roman"/>
          <w:b w:val="0"/>
          <w:bCs w:val="0"/>
          <w:color w:val="000000"/>
          <w:sz w:val="32"/>
          <w:szCs w:val="32"/>
        </w:rPr>
        <w:t>（14）资源勘探信息等支出（类）支持中小企业发展和管理支出（款）中小企业发展专项（项）</w:t>
      </w:r>
      <w:r>
        <w:rPr>
          <w:rFonts w:hint="eastAsia" w:eastAsia="仿宋_GB2312" w:cs="Times New Roman"/>
          <w:b w:val="0"/>
          <w:bCs w:val="0"/>
          <w:color w:val="000000"/>
          <w:sz w:val="32"/>
          <w:szCs w:val="32"/>
          <w:lang w:eastAsia="zh-CN"/>
        </w:rPr>
        <w:t>。</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b w:val="0"/>
          <w:bCs w:val="0"/>
          <w:color w:val="000000"/>
          <w:sz w:val="32"/>
          <w:szCs w:val="32"/>
        </w:rPr>
      </w:pPr>
      <w:r>
        <w:rPr>
          <w:rFonts w:hint="default" w:ascii="Times New Roman" w:hAnsi="Times New Roman" w:eastAsia="仿宋_GB2312" w:cs="Times New Roman"/>
          <w:b w:val="0"/>
          <w:bCs w:val="0"/>
          <w:color w:val="000000"/>
          <w:sz w:val="32"/>
          <w:szCs w:val="32"/>
        </w:rPr>
        <w:t>无年初预算，支出决算数为7万元，决算数大于预算数的原因是</w:t>
      </w:r>
      <w:r>
        <w:rPr>
          <w:rFonts w:hint="default" w:ascii="Times New Roman" w:hAnsi="Times New Roman" w:eastAsia="仿宋_GB2312" w:cs="Times New Roman"/>
          <w:b w:val="0"/>
          <w:bCs w:val="0"/>
          <w:color w:val="000000"/>
          <w:sz w:val="32"/>
          <w:szCs w:val="32"/>
          <w:lang w:eastAsia="zh-CN"/>
        </w:rPr>
        <w:t>工作任务需求变动，</w:t>
      </w:r>
      <w:r>
        <w:rPr>
          <w:rFonts w:hint="default" w:ascii="Times New Roman" w:hAnsi="Times New Roman" w:eastAsia="仿宋_GB2312" w:cs="Times New Roman"/>
          <w:b w:val="0"/>
          <w:bCs w:val="0"/>
          <w:color w:val="000000"/>
          <w:sz w:val="32"/>
          <w:szCs w:val="32"/>
        </w:rPr>
        <w:t>年中</w:t>
      </w:r>
      <w:r>
        <w:rPr>
          <w:rFonts w:hint="default" w:ascii="Times New Roman" w:hAnsi="Times New Roman" w:eastAsia="仿宋_GB2312" w:cs="Times New Roman"/>
          <w:b w:val="0"/>
          <w:bCs w:val="0"/>
          <w:color w:val="000000"/>
          <w:sz w:val="32"/>
          <w:szCs w:val="32"/>
          <w:lang w:eastAsia="zh-CN"/>
        </w:rPr>
        <w:t>预算调整</w:t>
      </w:r>
      <w:r>
        <w:rPr>
          <w:rFonts w:hint="default" w:ascii="Times New Roman" w:hAnsi="Times New Roman" w:eastAsia="仿宋_GB2312" w:cs="Times New Roman"/>
          <w:b w:val="0"/>
          <w:bCs w:val="0"/>
          <w:color w:val="000000"/>
          <w:sz w:val="32"/>
          <w:szCs w:val="32"/>
        </w:rPr>
        <w:t>追加。</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b w:val="0"/>
          <w:bCs w:val="0"/>
          <w:color w:val="000000"/>
          <w:sz w:val="32"/>
          <w:szCs w:val="32"/>
        </w:rPr>
      </w:pPr>
      <w:r>
        <w:rPr>
          <w:rFonts w:hint="default" w:ascii="Times New Roman" w:hAnsi="Times New Roman" w:eastAsia="仿宋_GB2312" w:cs="Times New Roman"/>
          <w:b w:val="0"/>
          <w:bCs w:val="0"/>
          <w:color w:val="000000"/>
          <w:sz w:val="32"/>
          <w:szCs w:val="32"/>
        </w:rPr>
        <w:t>（15）住房保障支出（类）保障性安居工程支出（款）其他保障性安居工程支出（项）</w:t>
      </w:r>
      <w:r>
        <w:rPr>
          <w:rFonts w:hint="eastAsia" w:eastAsia="仿宋_GB2312" w:cs="Times New Roman"/>
          <w:b w:val="0"/>
          <w:bCs w:val="0"/>
          <w:color w:val="000000"/>
          <w:sz w:val="32"/>
          <w:szCs w:val="32"/>
          <w:lang w:eastAsia="zh-CN"/>
        </w:rPr>
        <w:t>。</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b w:val="0"/>
          <w:bCs w:val="0"/>
          <w:color w:val="000000"/>
          <w:sz w:val="32"/>
          <w:szCs w:val="32"/>
        </w:rPr>
      </w:pPr>
      <w:r>
        <w:rPr>
          <w:rFonts w:hint="default" w:ascii="Times New Roman" w:hAnsi="Times New Roman" w:eastAsia="仿宋_GB2312" w:cs="Times New Roman"/>
          <w:b w:val="0"/>
          <w:bCs w:val="0"/>
          <w:color w:val="000000"/>
          <w:sz w:val="32"/>
          <w:szCs w:val="32"/>
        </w:rPr>
        <w:t>无年初预算，支出决算数为20.15万元，决算数大于预算数的原因是</w:t>
      </w:r>
      <w:r>
        <w:rPr>
          <w:rFonts w:hint="default" w:ascii="Times New Roman" w:hAnsi="Times New Roman" w:eastAsia="仿宋_GB2312" w:cs="Times New Roman"/>
          <w:b w:val="0"/>
          <w:bCs w:val="0"/>
          <w:color w:val="000000"/>
          <w:sz w:val="32"/>
          <w:szCs w:val="32"/>
          <w:lang w:eastAsia="zh-CN"/>
        </w:rPr>
        <w:t>工作任务需求变动，</w:t>
      </w:r>
      <w:r>
        <w:rPr>
          <w:rFonts w:hint="default" w:ascii="Times New Roman" w:hAnsi="Times New Roman" w:eastAsia="仿宋_GB2312" w:cs="Times New Roman"/>
          <w:b w:val="0"/>
          <w:bCs w:val="0"/>
          <w:color w:val="000000"/>
          <w:sz w:val="32"/>
          <w:szCs w:val="32"/>
        </w:rPr>
        <w:t>年中</w:t>
      </w:r>
      <w:r>
        <w:rPr>
          <w:rFonts w:hint="default" w:ascii="Times New Roman" w:hAnsi="Times New Roman" w:eastAsia="仿宋_GB2312" w:cs="Times New Roman"/>
          <w:b w:val="0"/>
          <w:bCs w:val="0"/>
          <w:color w:val="000000"/>
          <w:sz w:val="32"/>
          <w:szCs w:val="32"/>
          <w:lang w:eastAsia="zh-CN"/>
        </w:rPr>
        <w:t>预算调整</w:t>
      </w:r>
      <w:r>
        <w:rPr>
          <w:rFonts w:hint="default" w:ascii="Times New Roman" w:hAnsi="Times New Roman" w:eastAsia="仿宋_GB2312" w:cs="Times New Roman"/>
          <w:b w:val="0"/>
          <w:bCs w:val="0"/>
          <w:color w:val="000000"/>
          <w:sz w:val="32"/>
          <w:szCs w:val="32"/>
        </w:rPr>
        <w:t>追加。</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b w:val="0"/>
          <w:bCs w:val="0"/>
          <w:color w:val="000000"/>
          <w:sz w:val="32"/>
          <w:szCs w:val="32"/>
        </w:rPr>
      </w:pPr>
      <w:r>
        <w:rPr>
          <w:rFonts w:hint="default" w:ascii="Times New Roman" w:hAnsi="Times New Roman" w:eastAsia="仿宋_GB2312" w:cs="Times New Roman"/>
          <w:b w:val="0"/>
          <w:bCs w:val="0"/>
          <w:color w:val="000000"/>
          <w:sz w:val="32"/>
          <w:szCs w:val="32"/>
        </w:rPr>
        <w:t>（16）住房保障支出（类）住房改革支出（款）住房公积金（项）</w:t>
      </w:r>
      <w:r>
        <w:rPr>
          <w:rFonts w:hint="eastAsia" w:eastAsia="仿宋_GB2312" w:cs="Times New Roman"/>
          <w:b w:val="0"/>
          <w:bCs w:val="0"/>
          <w:color w:val="000000"/>
          <w:sz w:val="32"/>
          <w:szCs w:val="32"/>
          <w:lang w:eastAsia="zh-CN"/>
        </w:rPr>
        <w:t>。</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b w:val="0"/>
          <w:bCs w:val="0"/>
          <w:color w:val="000000"/>
          <w:sz w:val="32"/>
          <w:szCs w:val="32"/>
        </w:rPr>
      </w:pPr>
      <w:r>
        <w:rPr>
          <w:rFonts w:hint="default" w:ascii="Times New Roman" w:hAnsi="Times New Roman" w:eastAsia="仿宋_GB2312" w:cs="Times New Roman"/>
          <w:b w:val="0"/>
          <w:bCs w:val="0"/>
          <w:color w:val="000000"/>
          <w:sz w:val="32"/>
          <w:szCs w:val="32"/>
        </w:rPr>
        <w:t>年初预算为515.44万元万元，支出决算为490.37万元，完成年初预算的95.14%。决算数小于预算数的主要原因：</w:t>
      </w:r>
      <w:r>
        <w:rPr>
          <w:rFonts w:hint="default" w:ascii="Times New Roman" w:hAnsi="Times New Roman" w:eastAsia="仿宋_GB2312" w:cs="Times New Roman"/>
          <w:b w:val="0"/>
          <w:bCs w:val="0"/>
          <w:color w:val="000000"/>
          <w:sz w:val="32"/>
          <w:szCs w:val="32"/>
          <w:lang w:eastAsia="zh-CN"/>
        </w:rPr>
        <w:t>年度工作过程中人员调整等情况，实际支出小于预算数</w:t>
      </w:r>
      <w:r>
        <w:rPr>
          <w:rFonts w:hint="default" w:ascii="Times New Roman" w:hAnsi="Times New Roman" w:eastAsia="仿宋_GB2312" w:cs="Times New Roman"/>
          <w:b w:val="0"/>
          <w:bCs w:val="0"/>
          <w:color w:val="000000"/>
          <w:sz w:val="32"/>
          <w:szCs w:val="32"/>
        </w:rPr>
        <w:t>。</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b w:val="0"/>
          <w:bCs w:val="0"/>
          <w:color w:val="000000"/>
          <w:sz w:val="32"/>
          <w:szCs w:val="32"/>
        </w:rPr>
      </w:pPr>
      <w:r>
        <w:rPr>
          <w:rFonts w:hint="default" w:ascii="Times New Roman" w:hAnsi="Times New Roman" w:eastAsia="仿宋_GB2312" w:cs="Times New Roman"/>
          <w:b w:val="0"/>
          <w:bCs w:val="0"/>
          <w:color w:val="000000"/>
          <w:sz w:val="32"/>
          <w:szCs w:val="32"/>
        </w:rPr>
        <w:t xml:space="preserve"> （17）住房保障支出（类）住房改革支出（款）住房补贴（项）</w:t>
      </w:r>
      <w:r>
        <w:rPr>
          <w:rFonts w:hint="eastAsia" w:eastAsia="仿宋_GB2312" w:cs="Times New Roman"/>
          <w:b w:val="0"/>
          <w:bCs w:val="0"/>
          <w:color w:val="000000"/>
          <w:sz w:val="32"/>
          <w:szCs w:val="32"/>
          <w:lang w:eastAsia="zh-CN"/>
        </w:rPr>
        <w:t>。</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b w:val="0"/>
          <w:bCs w:val="0"/>
          <w:color w:val="000000"/>
          <w:sz w:val="32"/>
          <w:szCs w:val="32"/>
        </w:rPr>
      </w:pPr>
      <w:r>
        <w:rPr>
          <w:rFonts w:hint="default" w:ascii="Times New Roman" w:hAnsi="Times New Roman" w:eastAsia="仿宋_GB2312" w:cs="Times New Roman"/>
          <w:b w:val="0"/>
          <w:bCs w:val="0"/>
          <w:color w:val="000000"/>
          <w:sz w:val="32"/>
          <w:szCs w:val="32"/>
        </w:rPr>
        <w:t>年初预算为216.3万元万元，支出决算为45.46万元，完成年初预算的21.02%。决算数小于预算数的主要原因：</w:t>
      </w:r>
      <w:r>
        <w:rPr>
          <w:rFonts w:hint="default" w:ascii="Times New Roman" w:hAnsi="Times New Roman" w:eastAsia="仿宋_GB2312" w:cs="Times New Roman"/>
          <w:b w:val="0"/>
          <w:bCs w:val="0"/>
          <w:color w:val="000000"/>
          <w:sz w:val="32"/>
          <w:szCs w:val="32"/>
          <w:lang w:eastAsia="zh-CN"/>
        </w:rPr>
        <w:t>住房补贴是根据实际需求申请进行保障。</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b w:val="0"/>
          <w:bCs w:val="0"/>
          <w:color w:val="000000"/>
          <w:sz w:val="32"/>
          <w:szCs w:val="32"/>
        </w:rPr>
      </w:pPr>
      <w:r>
        <w:rPr>
          <w:rFonts w:hint="default" w:ascii="Times New Roman" w:hAnsi="Times New Roman" w:eastAsia="仿宋_GB2312" w:cs="Times New Roman"/>
          <w:b w:val="0"/>
          <w:bCs w:val="0"/>
          <w:color w:val="000000"/>
          <w:sz w:val="32"/>
          <w:szCs w:val="32"/>
        </w:rPr>
        <w:t>（18）其他支出（类）其他支出（款）其他支出（项）</w:t>
      </w:r>
      <w:r>
        <w:rPr>
          <w:rFonts w:hint="eastAsia" w:eastAsia="仿宋_GB2312" w:cs="Times New Roman"/>
          <w:b w:val="0"/>
          <w:bCs w:val="0"/>
          <w:color w:val="000000"/>
          <w:sz w:val="32"/>
          <w:szCs w:val="32"/>
          <w:lang w:eastAsia="zh-CN"/>
        </w:rPr>
        <w:t>。</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b w:val="0"/>
          <w:bCs w:val="0"/>
          <w:color w:val="000000"/>
          <w:sz w:val="32"/>
          <w:szCs w:val="32"/>
        </w:rPr>
      </w:pPr>
      <w:r>
        <w:rPr>
          <w:rFonts w:hint="default" w:ascii="Times New Roman" w:hAnsi="Times New Roman" w:eastAsia="仿宋_GB2312" w:cs="Times New Roman"/>
          <w:b w:val="0"/>
          <w:bCs w:val="0"/>
          <w:color w:val="000000"/>
          <w:sz w:val="32"/>
          <w:szCs w:val="32"/>
        </w:rPr>
        <w:t>年初预算为291.29万元万元，支出决算为290.59万元，完成年初预算的99.76%。</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楷体" w:cs="Times New Roman"/>
          <w:sz w:val="32"/>
          <w:szCs w:val="32"/>
        </w:rPr>
      </w:pPr>
      <w:r>
        <w:rPr>
          <w:rFonts w:hint="default" w:ascii="Times New Roman" w:hAnsi="Times New Roman" w:cs="Times New Roman"/>
          <w:sz w:val="32"/>
          <w:szCs w:val="32"/>
        </w:rPr>
        <w:t xml:space="preserve"> </w:t>
      </w:r>
      <w:r>
        <w:rPr>
          <w:rFonts w:hint="default" w:ascii="Times New Roman" w:hAnsi="Times New Roman" w:eastAsia="楷体" w:cs="Times New Roman"/>
          <w:sz w:val="32"/>
          <w:szCs w:val="32"/>
        </w:rPr>
        <w:t>（六）关于财政厅部门2016年度一般公共预算财政拨款基本支出决算明细情况说明</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财政厅部门2016年度财政拨款基本支出6,787.03万元，其中：人员经费5,563.06万元，主要包括：基本工资、津贴补贴、奖金、社会保障缴费、伙食补助费、绩效工资、其他工资福利支出等、离休费、退休费、生活补助、医疗费、奖励金、住房公积金、购房补贴、其他对个人和家庭的补助支出等。公用经费1,223.97万元，主要包括：办公费、印刷费、手续费、水费、电费、邮电费、物业管理费、差旅费、因公出国（境）费用、维修（护）费、租赁费、会议费、培训费、公务接待费、专用材料费、劳务费、委托业务费、工会经费、福利费、公务用车运行维护费、其他交通费用、其他商品和服务支出、办公设备购置、专用设备购置等。</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楷体" w:cs="Times New Roman"/>
          <w:sz w:val="32"/>
          <w:szCs w:val="32"/>
        </w:rPr>
      </w:pPr>
      <w:r>
        <w:rPr>
          <w:rFonts w:hint="default" w:ascii="Times New Roman" w:hAnsi="Times New Roman" w:eastAsia="楷体" w:cs="Times New Roman"/>
          <w:sz w:val="32"/>
          <w:szCs w:val="32"/>
        </w:rPr>
        <w:t>（七）关于财政厅部门2016年度一般公共预算财政拨款“三公”经费支出决算情况说明</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1.“三公”经费财政拨款支出决算总体情况说明。</w:t>
      </w:r>
    </w:p>
    <w:p>
      <w:pPr>
        <w:pStyle w:val="5"/>
        <w:wordWrap/>
        <w:adjustRightInd/>
        <w:snapToGrid w:val="0"/>
        <w:spacing w:line="600" w:lineRule="exact"/>
        <w:ind w:left="0" w:leftChars="0" w:right="0" w:firstLine="640" w:firstLineChars="200"/>
        <w:contextualSpacing/>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财政厅部门2016年度“三公”经费财政拨款支出预算为403.88万元，支出决算为317.93万元，完成预算的78.72%。其中：因公出国（境）费支出决算为248.85万元，完成预算的136.67%；公务用车购置及运行费支出决算为58.73万元，完成预算的50.15%；公务接待费支出决算为10.34万元，完成预算的9.88%。2016年度“三公”经费支出决算数小于预算数的主要原因：一是因公出国（境）费超预算是</w:t>
      </w:r>
      <w:r>
        <w:rPr>
          <w:rFonts w:hint="eastAsia" w:eastAsia="仿宋_GB2312" w:cs="Times New Roman"/>
          <w:sz w:val="32"/>
          <w:szCs w:val="32"/>
          <w:lang w:eastAsia="zh-CN"/>
        </w:rPr>
        <w:t>因年中工作任务需求和财政部工作要求，组织赴国外开展财政业务专项调研和培训，增加因公出国（境）工作经费支出。</w:t>
      </w:r>
      <w:r>
        <w:rPr>
          <w:rFonts w:hint="default" w:ascii="Times New Roman" w:hAnsi="Times New Roman" w:eastAsia="仿宋_GB2312" w:cs="Times New Roman"/>
          <w:sz w:val="32"/>
          <w:szCs w:val="32"/>
        </w:rPr>
        <w:t>二是</w:t>
      </w:r>
      <w:r>
        <w:rPr>
          <w:rFonts w:hint="eastAsia" w:eastAsia="仿宋_GB2312" w:cs="Times New Roman"/>
          <w:sz w:val="32"/>
          <w:szCs w:val="32"/>
          <w:lang w:eastAsia="zh-CN"/>
        </w:rPr>
        <w:t>公车改革，部分车辆封存，费用减少。三</w:t>
      </w:r>
      <w:r>
        <w:rPr>
          <w:rFonts w:hint="default" w:ascii="Times New Roman" w:hAnsi="Times New Roman" w:eastAsia="仿宋_GB2312" w:cs="Times New Roman"/>
          <w:sz w:val="32"/>
          <w:szCs w:val="32"/>
        </w:rPr>
        <w:t>是贯彻落实中央八项规定和省委省政府二十条规定，厉行节约</w:t>
      </w:r>
      <w:r>
        <w:rPr>
          <w:rFonts w:hint="eastAsia" w:eastAsia="仿宋_GB2312" w:cs="Times New Roman"/>
          <w:sz w:val="32"/>
          <w:szCs w:val="32"/>
          <w:lang w:eastAsia="zh-CN"/>
        </w:rPr>
        <w:t>。</w:t>
      </w:r>
    </w:p>
    <w:p>
      <w:pPr>
        <w:pStyle w:val="5"/>
        <w:wordWrap/>
        <w:adjustRightInd/>
        <w:snapToGrid w:val="0"/>
        <w:spacing w:line="600" w:lineRule="exact"/>
        <w:ind w:left="0" w:leftChars="0" w:right="0" w:firstLine="640" w:firstLineChars="200"/>
        <w:contextualSpacing/>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2016年度“三公”经费财政拨款支出决算数比2015年度增加 16.87万元，增长5.6%，其中：因公出国（境）费支出决算增加148.42万元，增长147.78%；公务用车购置及运行费支出决算减少134.66万元，下降69.63%；公务接待费支出决算增加3.1万元，增长42.82%。因公出国（境）费支出决算增加的主要原因是</w:t>
      </w:r>
      <w:r>
        <w:rPr>
          <w:rFonts w:hint="eastAsia" w:eastAsia="仿宋_GB2312" w:cs="Times New Roman"/>
          <w:sz w:val="32"/>
          <w:szCs w:val="32"/>
          <w:lang w:eastAsia="zh-CN"/>
        </w:rPr>
        <w:t>年中工作任务需求和财政部工作要求，组织赴国外开展财政业务专项调研和培训，增加因公出国（境）工作经费支出</w:t>
      </w:r>
      <w:r>
        <w:rPr>
          <w:rFonts w:hint="default" w:ascii="Times New Roman" w:hAnsi="Times New Roman" w:eastAsia="仿宋_GB2312" w:cs="Times New Roman"/>
          <w:sz w:val="32"/>
          <w:szCs w:val="32"/>
        </w:rPr>
        <w:t>；公务用车购置及运行费支出决算减少的主要原因是</w:t>
      </w:r>
      <w:r>
        <w:rPr>
          <w:rFonts w:hint="eastAsia" w:eastAsia="仿宋_GB2312" w:cs="Times New Roman"/>
          <w:sz w:val="32"/>
          <w:szCs w:val="32"/>
          <w:lang w:eastAsia="zh-CN"/>
        </w:rPr>
        <w:t>公车改革，部分车辆封存，同时</w:t>
      </w:r>
      <w:r>
        <w:rPr>
          <w:rFonts w:hint="default" w:ascii="Times New Roman" w:hAnsi="Times New Roman" w:eastAsia="仿宋_GB2312" w:cs="Times New Roman"/>
          <w:sz w:val="32"/>
          <w:szCs w:val="32"/>
        </w:rPr>
        <w:t>部门加强公务车的运维管理，合理调度公务用车，节约公车运行消耗；公务接待费支出决算增加的主要原因是因财政部、省政府临时安排工作调研所</w:t>
      </w:r>
      <w:r>
        <w:rPr>
          <w:rFonts w:hint="eastAsia" w:eastAsia="仿宋_GB2312" w:cs="Times New Roman"/>
          <w:sz w:val="32"/>
          <w:szCs w:val="32"/>
          <w:lang w:eastAsia="zh-CN"/>
        </w:rPr>
        <w:t>产生</w:t>
      </w:r>
      <w:r>
        <w:rPr>
          <w:rFonts w:hint="default" w:ascii="Times New Roman" w:hAnsi="Times New Roman" w:eastAsia="仿宋_GB2312" w:cs="Times New Roman"/>
          <w:sz w:val="32"/>
          <w:szCs w:val="32"/>
        </w:rPr>
        <w:t>的接待支出。</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2.“三公”经费财政拨款支出决算具体情况说明。</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2016年度“三公”经费财政拨款支出决算中，因公出国（境）费支出决算248.85万元，占1.79%；公务用车购置及运行费支出决算58.73万元，占0.42%；公务接待费支出决算10.34万元，占0.01%。具体情况如下：</w:t>
      </w:r>
    </w:p>
    <w:p>
      <w:pPr>
        <w:pStyle w:val="5"/>
        <w:wordWrap/>
        <w:adjustRightInd/>
        <w:snapToGrid w:val="0"/>
        <w:spacing w:line="600" w:lineRule="exact"/>
        <w:ind w:left="0" w:leftChars="0" w:right="0" w:firstLine="640" w:firstLineChars="200"/>
        <w:contextualSpacing/>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（1）因公出国（境）费支出248.85万元。全年安排因公出国（境）团组5个，累计43人次。开支内容包括：</w:t>
      </w:r>
      <w:r>
        <w:rPr>
          <w:rFonts w:hint="default" w:ascii="Times New Roman" w:hAnsi="Times New Roman" w:eastAsia="仿宋_GB2312" w:cs="Times New Roman"/>
          <w:color w:val="000000"/>
          <w:sz w:val="32"/>
          <w:szCs w:val="32"/>
          <w:lang w:eastAsia="zh-CN"/>
        </w:rPr>
        <w:t>赴台湾开展海南省财政重点改革能力推进培训，赴美国开展权责发生制政府综合财务报告培训、财政体制和预算管理调研、财政系统PPP专题培训、“互联网产业发展”专题培训等。</w:t>
      </w:r>
    </w:p>
    <w:p>
      <w:pPr>
        <w:pStyle w:val="5"/>
        <w:wordWrap/>
        <w:adjustRightInd/>
        <w:snapToGrid w:val="0"/>
        <w:spacing w:line="600" w:lineRule="exact"/>
        <w:ind w:left="0" w:leftChars="0" w:right="0" w:firstLine="640" w:firstLineChars="200"/>
        <w:contextualSpacing/>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（2）公务用车购置及运行费支出58.73万元。主要是公务用车运行支出58.73万元，用于保障财政部、省委省政府及上级有关工作专题调研费用，日常油料消耗及维修保养费用。</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公务接待费支出10.34万元，全年国内公务接待62批次，接待729人次，主要用于全国财政系统来人和政府安排的对口接待任务，承担与财政业务相关的全国（省）性会议的接待任务以及省（内）外相关部门项目考察、交流、调研等接待任务。</w:t>
      </w:r>
    </w:p>
    <w:p>
      <w:pPr>
        <w:pStyle w:val="6"/>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楷体" w:cs="Times New Roman"/>
          <w:sz w:val="32"/>
          <w:szCs w:val="32"/>
        </w:rPr>
      </w:pPr>
      <w:r>
        <w:rPr>
          <w:rFonts w:hint="default" w:ascii="Times New Roman" w:hAnsi="Times New Roman" w:eastAsia="楷体" w:cs="Times New Roman"/>
          <w:sz w:val="32"/>
          <w:szCs w:val="32"/>
        </w:rPr>
        <w:t>（八）财政厅部门2016年度预算绩效情况说明</w:t>
      </w:r>
    </w:p>
    <w:p>
      <w:pPr>
        <w:pStyle w:val="6"/>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根据财政预算管理要求，</w:t>
      </w:r>
      <w:r>
        <w:rPr>
          <w:rFonts w:hint="default" w:ascii="Times New Roman" w:hAnsi="Times New Roman" w:eastAsia="仿宋_GB2312" w:cs="Times New Roman"/>
          <w:sz w:val="32"/>
          <w:szCs w:val="32"/>
          <w:lang w:eastAsia="zh-CN"/>
        </w:rPr>
        <w:t>财政</w:t>
      </w:r>
      <w:r>
        <w:rPr>
          <w:rFonts w:hint="default" w:ascii="Times New Roman" w:hAnsi="Times New Roman" w:eastAsia="仿宋_GB2312" w:cs="Times New Roman"/>
          <w:sz w:val="32"/>
          <w:szCs w:val="32"/>
        </w:rPr>
        <w:t>部门组织对2016年度纳入绩效自评范围的一般公共预算项目支出全面开展绩效自评。</w:t>
      </w:r>
      <w:r>
        <w:rPr>
          <w:rFonts w:hint="eastAsia" w:eastAsia="仿宋_GB2312" w:cs="Times New Roman"/>
          <w:sz w:val="32"/>
          <w:szCs w:val="32"/>
          <w:lang w:eastAsia="zh-CN"/>
        </w:rPr>
        <w:t>包括</w:t>
      </w:r>
      <w:r>
        <w:rPr>
          <w:rFonts w:hint="default" w:ascii="Times New Roman" w:hAnsi="Times New Roman" w:eastAsia="仿宋_GB2312" w:cs="Times New Roman"/>
          <w:sz w:val="32"/>
          <w:szCs w:val="32"/>
        </w:rPr>
        <w:t>“会计管理”等14个项目</w:t>
      </w:r>
      <w:r>
        <w:rPr>
          <w:rFonts w:hint="eastAsia" w:eastAsia="仿宋_GB2312" w:cs="Times New Roman"/>
          <w:sz w:val="32"/>
          <w:szCs w:val="32"/>
          <w:lang w:eastAsia="zh-CN"/>
        </w:rPr>
        <w:t>，</w:t>
      </w:r>
      <w:r>
        <w:rPr>
          <w:rFonts w:hint="default" w:ascii="Times New Roman" w:hAnsi="Times New Roman" w:eastAsia="仿宋_GB2312" w:cs="Times New Roman"/>
          <w:color w:val="000000"/>
          <w:sz w:val="32"/>
          <w:szCs w:val="32"/>
        </w:rPr>
        <w:t>其中，一级</w:t>
      </w:r>
      <w:r>
        <w:rPr>
          <w:rFonts w:hint="default" w:ascii="Times New Roman" w:hAnsi="Times New Roman" w:eastAsia="仿宋_GB2312" w:cs="Times New Roman"/>
          <w:sz w:val="32"/>
          <w:szCs w:val="32"/>
        </w:rPr>
        <w:t>项目有8个，</w:t>
      </w:r>
      <w:r>
        <w:rPr>
          <w:rFonts w:hint="default" w:ascii="Times New Roman" w:hAnsi="Times New Roman" w:eastAsia="仿宋_GB2312" w:cs="Times New Roman"/>
          <w:color w:val="000000"/>
          <w:sz w:val="32"/>
          <w:szCs w:val="32"/>
        </w:rPr>
        <w:t>二级项目6个，</w:t>
      </w:r>
      <w:r>
        <w:rPr>
          <w:rFonts w:hint="default" w:ascii="Times New Roman" w:hAnsi="Times New Roman" w:eastAsia="仿宋_GB2312" w:cs="Times New Roman"/>
          <w:sz w:val="32"/>
          <w:szCs w:val="32"/>
        </w:rPr>
        <w:t>共涉及资金6,403.19万元，自评覆盖率达到100%。从评价情况来看，项目建设能够按照项目计划执行，项目预算经费基本能够满足项目需求，项目建设成果能够达到预定目标，产生较好的经济效益和公共服务效能，项目整体评价结果</w:t>
      </w:r>
      <w:r>
        <w:rPr>
          <w:rFonts w:hint="eastAsia" w:eastAsia="仿宋_GB2312" w:cs="Times New Roman"/>
          <w:sz w:val="32"/>
          <w:szCs w:val="32"/>
          <w:lang w:eastAsia="zh-CN"/>
        </w:rPr>
        <w:t>均</w:t>
      </w:r>
      <w:r>
        <w:rPr>
          <w:rFonts w:hint="default" w:ascii="Times New Roman" w:hAnsi="Times New Roman" w:eastAsia="仿宋_GB2312" w:cs="Times New Roman"/>
          <w:sz w:val="32"/>
          <w:szCs w:val="32"/>
        </w:rPr>
        <w:t>为优秀。</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楷体" w:cs="Times New Roman"/>
          <w:sz w:val="32"/>
          <w:szCs w:val="32"/>
        </w:rPr>
      </w:pPr>
      <w:r>
        <w:rPr>
          <w:rFonts w:hint="default" w:ascii="Times New Roman" w:hAnsi="Times New Roman" w:eastAsia="楷体" w:cs="Times New Roman"/>
          <w:sz w:val="32"/>
          <w:szCs w:val="32"/>
        </w:rPr>
        <w:t>（九）其他重要事项的情况说明</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1.机关运行经费支出情况。</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2016年度财政厅部门机关运行经费1,174.24万元（为部门决算中行政单位和参公事业单位使用一般公共预算财政拨款安排的基本支出中的日常公用经费支出），比2015年增加359.62万元，增长44.14%。主要原因是：</w:t>
      </w:r>
      <w:r>
        <w:rPr>
          <w:rFonts w:hint="default" w:ascii="Times New Roman" w:hAnsi="Times New Roman" w:eastAsia="仿宋_GB2312" w:cs="Times New Roman"/>
          <w:color w:val="000000"/>
          <w:sz w:val="32"/>
          <w:szCs w:val="32"/>
          <w:lang w:eastAsia="zh-CN"/>
        </w:rPr>
        <w:t>根据公务车改革工作精神，增加的人员交通补助</w:t>
      </w:r>
      <w:r>
        <w:rPr>
          <w:rFonts w:hint="eastAsia" w:eastAsia="仿宋_GB2312" w:cs="Times New Roman"/>
          <w:color w:val="000000"/>
          <w:sz w:val="32"/>
          <w:szCs w:val="32"/>
          <w:lang w:eastAsia="zh-CN"/>
        </w:rPr>
        <w:t>支出</w:t>
      </w:r>
      <w:r>
        <w:rPr>
          <w:rFonts w:hint="default" w:ascii="Times New Roman" w:hAnsi="Times New Roman" w:eastAsia="仿宋_GB2312" w:cs="Times New Roman"/>
          <w:color w:val="000000"/>
          <w:sz w:val="32"/>
          <w:szCs w:val="32"/>
        </w:rPr>
        <w:t>。</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2.政府采购支出情况。</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2016年度财政厅部门政府采购支出总额659.02万元，其中：政府采购货物支出176.03万元、政府采购工程支出0万元、政府采购服务支出482.99万元。</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3.国有资产占用情况。</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截至2016年12月31日，本部门共有车辆59辆，其中，一般公务用车56辆</w:t>
      </w:r>
      <w:r>
        <w:rPr>
          <w:rFonts w:hint="eastAsia" w:eastAsia="仿宋_GB2312" w:cs="Times New Roman"/>
          <w:sz w:val="32"/>
          <w:szCs w:val="32"/>
          <w:lang w:eastAsia="zh-CN"/>
        </w:rPr>
        <w:t>（除公车改革后留用公务车外，其余待处置核销）</w:t>
      </w:r>
      <w:r>
        <w:rPr>
          <w:rFonts w:hint="default" w:ascii="Times New Roman" w:hAnsi="Times New Roman" w:eastAsia="仿宋_GB2312" w:cs="Times New Roman"/>
          <w:sz w:val="32"/>
          <w:szCs w:val="32"/>
        </w:rPr>
        <w:t>、其他用车3辆，主要是部门下属单位待报废车辆。</w:t>
      </w:r>
      <w:bookmarkStart w:id="0" w:name="_GoBack"/>
      <w:bookmarkEnd w:id="0"/>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四、名词解释</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sz w:val="32"/>
          <w:szCs w:val="32"/>
        </w:rPr>
      </w:pPr>
      <w:r>
        <w:rPr>
          <w:rFonts w:hint="eastAsia" w:ascii="楷体_GB2312" w:hAnsi="楷体_GB2312" w:eastAsia="楷体_GB2312" w:cs="楷体_GB2312"/>
          <w:sz w:val="32"/>
          <w:szCs w:val="32"/>
        </w:rPr>
        <w:t>（一）财政拨款收入：</w:t>
      </w:r>
      <w:r>
        <w:rPr>
          <w:rFonts w:hint="default" w:ascii="Times New Roman" w:hAnsi="Times New Roman" w:eastAsia="仿宋_GB2312" w:cs="Times New Roman"/>
          <w:sz w:val="32"/>
          <w:szCs w:val="32"/>
        </w:rPr>
        <w:t>指本级财政当年拨付的资金。</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sz w:val="32"/>
          <w:szCs w:val="32"/>
        </w:rPr>
      </w:pPr>
      <w:r>
        <w:rPr>
          <w:rFonts w:hint="eastAsia" w:ascii="楷体_GB2312" w:hAnsi="楷体_GB2312" w:eastAsia="楷体_GB2312" w:cs="楷体_GB2312"/>
          <w:sz w:val="32"/>
          <w:szCs w:val="32"/>
        </w:rPr>
        <w:t>（二）事业收入：</w:t>
      </w:r>
      <w:r>
        <w:rPr>
          <w:rFonts w:hint="default" w:ascii="Times New Roman" w:hAnsi="Times New Roman" w:eastAsia="仿宋_GB2312" w:cs="Times New Roman"/>
          <w:sz w:val="32"/>
          <w:szCs w:val="32"/>
        </w:rPr>
        <w:t>指事业单位开展专业业务活动及辅助活动取得的收入。</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sz w:val="32"/>
          <w:szCs w:val="32"/>
        </w:rPr>
      </w:pPr>
      <w:r>
        <w:rPr>
          <w:rFonts w:hint="eastAsia" w:ascii="楷体_GB2312" w:hAnsi="楷体_GB2312" w:eastAsia="楷体_GB2312" w:cs="楷体_GB2312"/>
          <w:sz w:val="32"/>
          <w:szCs w:val="32"/>
        </w:rPr>
        <w:t>（三）其他收入：</w:t>
      </w:r>
      <w:r>
        <w:rPr>
          <w:rFonts w:hint="default" w:ascii="Times New Roman" w:hAnsi="Times New Roman" w:eastAsia="仿宋_GB2312" w:cs="Times New Roman"/>
          <w:sz w:val="32"/>
          <w:szCs w:val="32"/>
        </w:rPr>
        <w:t>指除上述“财政拨款收入”“事业收入”“经营收入”等以外的收入。</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sz w:val="32"/>
          <w:szCs w:val="32"/>
        </w:rPr>
      </w:pPr>
      <w:r>
        <w:rPr>
          <w:rFonts w:hint="eastAsia" w:ascii="楷体_GB2312" w:hAnsi="楷体_GB2312" w:eastAsia="楷体_GB2312" w:cs="楷体_GB2312"/>
          <w:sz w:val="32"/>
          <w:szCs w:val="32"/>
        </w:rPr>
        <w:t>（四）用事业基金弥补收支差额：</w:t>
      </w:r>
      <w:r>
        <w:rPr>
          <w:rFonts w:hint="default" w:ascii="Times New Roman" w:hAnsi="Times New Roman" w:eastAsia="仿宋_GB2312" w:cs="Times New Roman"/>
          <w:sz w:val="32"/>
          <w:szCs w:val="32"/>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sz w:val="32"/>
          <w:szCs w:val="32"/>
        </w:rPr>
      </w:pPr>
      <w:r>
        <w:rPr>
          <w:rFonts w:hint="eastAsia" w:ascii="楷体_GB2312" w:hAnsi="楷体_GB2312" w:eastAsia="楷体_GB2312" w:cs="楷体_GB2312"/>
          <w:sz w:val="32"/>
          <w:szCs w:val="32"/>
        </w:rPr>
        <w:t>（五）年初结转和结余：</w:t>
      </w:r>
      <w:r>
        <w:rPr>
          <w:rFonts w:hint="default" w:ascii="Times New Roman" w:hAnsi="Times New Roman" w:eastAsia="仿宋_GB2312" w:cs="Times New Roman"/>
          <w:sz w:val="32"/>
          <w:szCs w:val="32"/>
        </w:rPr>
        <w:t>指以前年度尚未完成、结转到本年按有关规定继续使用的资金。</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sz w:val="32"/>
          <w:szCs w:val="32"/>
        </w:rPr>
      </w:pPr>
      <w:r>
        <w:rPr>
          <w:rFonts w:hint="eastAsia" w:ascii="楷体_GB2312" w:hAnsi="楷体_GB2312" w:eastAsia="楷体_GB2312" w:cs="楷体_GB2312"/>
          <w:sz w:val="32"/>
          <w:szCs w:val="32"/>
        </w:rPr>
        <w:t>（六）结余分配：</w:t>
      </w:r>
      <w:r>
        <w:rPr>
          <w:rFonts w:hint="default" w:ascii="Times New Roman" w:hAnsi="Times New Roman" w:eastAsia="仿宋_GB2312" w:cs="Times New Roman"/>
          <w:sz w:val="32"/>
          <w:szCs w:val="32"/>
        </w:rPr>
        <w:t>指事业单位按规定提取的职工福利基金、事业基金和缴纳的所得税，以及建设单位按规定应交回的基本建设竣工项目结余资金。</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sz w:val="32"/>
          <w:szCs w:val="32"/>
        </w:rPr>
      </w:pPr>
      <w:r>
        <w:rPr>
          <w:rFonts w:hint="eastAsia" w:ascii="楷体_GB2312" w:hAnsi="楷体_GB2312" w:eastAsia="楷体_GB2312" w:cs="楷体_GB2312"/>
          <w:b w:val="0"/>
          <w:bCs w:val="0"/>
          <w:sz w:val="32"/>
          <w:szCs w:val="32"/>
        </w:rPr>
        <w:t>（七）年末结转和结余：</w:t>
      </w:r>
      <w:r>
        <w:rPr>
          <w:rFonts w:hint="default" w:ascii="Times New Roman" w:hAnsi="Times New Roman" w:eastAsia="仿宋_GB2312" w:cs="Times New Roman"/>
          <w:sz w:val="32"/>
          <w:szCs w:val="32"/>
        </w:rPr>
        <w:t>指本年度或以前年度预算安排、因客观条件发生变化无法按原计划实施，需要延迟到以后年度按有关规定继续使用的资金。</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sz w:val="32"/>
          <w:szCs w:val="32"/>
        </w:rPr>
      </w:pPr>
      <w:r>
        <w:rPr>
          <w:rFonts w:hint="eastAsia" w:ascii="楷体_GB2312" w:hAnsi="楷体_GB2312" w:eastAsia="楷体_GB2312" w:cs="楷体_GB2312"/>
          <w:b w:val="0"/>
          <w:bCs w:val="0"/>
          <w:sz w:val="32"/>
          <w:szCs w:val="32"/>
        </w:rPr>
        <w:t>（八）基本支出：</w:t>
      </w:r>
      <w:r>
        <w:rPr>
          <w:rFonts w:hint="default" w:ascii="Times New Roman" w:hAnsi="Times New Roman" w:eastAsia="仿宋_GB2312" w:cs="Times New Roman"/>
          <w:sz w:val="32"/>
          <w:szCs w:val="32"/>
        </w:rPr>
        <w:t>指为保障机构正常运转、完成日常工作任务而发生的人员支出和公用支出。</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sz w:val="32"/>
          <w:szCs w:val="32"/>
        </w:rPr>
      </w:pPr>
      <w:r>
        <w:rPr>
          <w:rFonts w:hint="eastAsia" w:ascii="楷体_GB2312" w:hAnsi="楷体_GB2312" w:eastAsia="楷体_GB2312" w:cs="楷体_GB2312"/>
          <w:b w:val="0"/>
          <w:bCs w:val="0"/>
          <w:sz w:val="32"/>
          <w:szCs w:val="32"/>
        </w:rPr>
        <w:t>（九）项目支出：</w:t>
      </w:r>
      <w:r>
        <w:rPr>
          <w:rFonts w:hint="default" w:ascii="Times New Roman" w:hAnsi="Times New Roman" w:eastAsia="仿宋_GB2312" w:cs="Times New Roman"/>
          <w:sz w:val="32"/>
          <w:szCs w:val="32"/>
        </w:rPr>
        <w:t>指在基本支出之外为完成特定行政任务和事业发展目标所发生的支出。</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sz w:val="32"/>
          <w:szCs w:val="32"/>
        </w:rPr>
      </w:pPr>
      <w:r>
        <w:rPr>
          <w:rFonts w:hint="eastAsia" w:ascii="楷体_GB2312" w:hAnsi="楷体_GB2312" w:eastAsia="楷体_GB2312" w:cs="楷体_GB2312"/>
          <w:b w:val="0"/>
          <w:bCs w:val="0"/>
          <w:sz w:val="32"/>
          <w:szCs w:val="32"/>
        </w:rPr>
        <w:t>（十）“三公”经费：</w:t>
      </w:r>
      <w:r>
        <w:rPr>
          <w:rFonts w:hint="default" w:ascii="Times New Roman" w:hAnsi="Times New Roman" w:eastAsia="仿宋_GB2312" w:cs="Times New Roman"/>
          <w:sz w:val="32"/>
          <w:szCs w:val="32"/>
        </w:rPr>
        <w:t>纳入本级财政预决算管理的“三公”经费，是指本级部门用一般公共预算财政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5"/>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sz w:val="32"/>
          <w:szCs w:val="32"/>
        </w:rPr>
      </w:pPr>
      <w:r>
        <w:rPr>
          <w:rFonts w:hint="eastAsia" w:ascii="楷体_GB2312" w:hAnsi="楷体_GB2312" w:eastAsia="楷体_GB2312" w:cs="楷体_GB2312"/>
          <w:b w:val="0"/>
          <w:bCs w:val="0"/>
          <w:sz w:val="32"/>
          <w:szCs w:val="32"/>
        </w:rPr>
        <w:t>（十一）机关运行经费：</w:t>
      </w:r>
      <w:r>
        <w:rPr>
          <w:rFonts w:hint="default" w:ascii="Times New Roman" w:hAnsi="Times New Roman" w:eastAsia="仿宋_GB2312" w:cs="Times New Roman"/>
          <w:sz w:val="32"/>
          <w:szCs w:val="32"/>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ordWrap/>
        <w:adjustRightInd/>
        <w:spacing w:line="600" w:lineRule="exact"/>
        <w:ind w:left="0" w:leftChars="0" w:right="0" w:firstLine="640" w:firstLineChars="200"/>
        <w:contextualSpacing/>
        <w:textAlignment w:val="auto"/>
        <w:outlineLvl w:val="9"/>
        <w:rPr>
          <w:rFonts w:hint="default" w:ascii="Times New Roman" w:hAnsi="Times New Roman" w:cs="Times New Roma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auto"/>
    <w:pitch w:val="default"/>
    <w:sig w:usb0="E00002FF" w:usb1="4000ACFF" w:usb2="00000001" w:usb3="00000000" w:csb0="0000019F" w:csb1="00000000"/>
  </w:font>
  <w:font w:name="ˎ̥">
    <w:altName w:val="Times New Roman"/>
    <w:panose1 w:val="00000000000000000000"/>
    <w:charset w:val="00"/>
    <w:family w:val="auto"/>
    <w:pitch w:val="default"/>
    <w:sig w:usb0="00000000" w:usb1="00000000" w:usb2="00000000" w:usb3="00000000" w:csb0="00040001" w:csb1="00000000"/>
  </w:font>
  <w:font w:name="方正小标宋简体">
    <w:altName w:val="微软雅黑"/>
    <w:panose1 w:val="03000509000000000000"/>
    <w:charset w:val="86"/>
    <w:family w:val="auto"/>
    <w:pitch w:val="default"/>
    <w:sig w:usb0="00000001" w:usb1="080E0000" w:usb2="00000010" w:usb3="00000000" w:csb0="00040000" w:csb1="00000000"/>
  </w:font>
  <w:font w:name="仿宋_GB2312">
    <w:panose1 w:val="02010609030101010101"/>
    <w:charset w:val="86"/>
    <w:family w:val="auto"/>
    <w:pitch w:val="default"/>
    <w:sig w:usb0="00000001" w:usb1="080E0000" w:usb2="00000000" w:usb3="00000000" w:csb0="00040000" w:csb1="00000000"/>
  </w:font>
  <w:font w:name="楷体">
    <w:altName w:val="楷体_GB2312"/>
    <w:panose1 w:val="02010609060101010101"/>
    <w:charset w:val="86"/>
    <w:family w:val="auto"/>
    <w:pitch w:val="default"/>
    <w:sig w:usb0="800002BF" w:usb1="38CF7CFA" w:usb2="00000016" w:usb3="00000000" w:csb0="00040001" w:csb1="00000000"/>
  </w:font>
  <w:font w:name="仿宋">
    <w:altName w:val="仿宋_GB2312"/>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A262B4"/>
    <w:rsid w:val="00101E9E"/>
    <w:rsid w:val="0013032D"/>
    <w:rsid w:val="009303F0"/>
    <w:rsid w:val="00A262B4"/>
    <w:rsid w:val="03362153"/>
    <w:rsid w:val="15BC4236"/>
    <w:rsid w:val="192C06DB"/>
    <w:rsid w:val="1ABE55EE"/>
    <w:rsid w:val="1AF30046"/>
    <w:rsid w:val="1C3A255C"/>
    <w:rsid w:val="2460628A"/>
    <w:rsid w:val="25E40DB9"/>
    <w:rsid w:val="3A800389"/>
    <w:rsid w:val="3F246674"/>
    <w:rsid w:val="47423575"/>
    <w:rsid w:val="53B2692E"/>
    <w:rsid w:val="54684287"/>
    <w:rsid w:val="5BFD0E7B"/>
    <w:rsid w:val="5E325597"/>
    <w:rsid w:val="5F5A22C7"/>
    <w:rsid w:val="6F285C6B"/>
    <w:rsid w:val="6F581888"/>
    <w:rsid w:val="7C2B0D47"/>
    <w:rsid w:val="7F913256"/>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0" w:name="header"/>
    <w:lsdException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3">
    <w:name w:val="Default Paragraph Font"/>
    <w:unhideWhenUsed/>
    <w:uiPriority w:val="1"/>
  </w:style>
  <w:style w:type="table" w:default="1" w:styleId="4">
    <w:name w:val="Normal Table"/>
    <w:unhideWhenUsed/>
    <w:uiPriority w:val="99"/>
    <w:tblPr>
      <w:tblStyle w:val="4"/>
      <w:tblLayout w:type="fixed"/>
      <w:tblCellMar>
        <w:top w:w="0" w:type="dxa"/>
        <w:left w:w="108" w:type="dxa"/>
        <w:bottom w:w="0" w:type="dxa"/>
        <w:right w:w="108" w:type="dxa"/>
      </w:tblCellMar>
    </w:tblPr>
    <w:tcPr>
      <w:textDirection w:val="lrTb"/>
    </w:tcPr>
  </w:style>
  <w:style w:type="paragraph" w:styleId="2">
    <w:name w:val="footer"/>
    <w:basedOn w:val="1"/>
    <w:unhideWhenUsed/>
    <w:uiPriority w:val="0"/>
    <w:pPr>
      <w:tabs>
        <w:tab w:val="center" w:pos="4153"/>
        <w:tab w:val="right" w:pos="8306"/>
      </w:tabs>
      <w:snapToGrid w:val="0"/>
      <w:jc w:val="left"/>
    </w:pPr>
    <w:rPr>
      <w:sz w:val="18"/>
      <w:szCs w:val="18"/>
    </w:rPr>
  </w:style>
  <w:style w:type="paragraph" w:customStyle="1" w:styleId="5">
    <w:name w:val="p19"/>
    <w:basedOn w:val="1"/>
    <w:uiPriority w:val="0"/>
    <w:pPr>
      <w:widowControl/>
      <w:jc w:val="left"/>
    </w:pPr>
    <w:rPr>
      <w:rFonts w:ascii="Times New Roman" w:hAnsi="Times New Roman" w:eastAsia="宋体" w:cs="Times New Roman"/>
      <w:kern w:val="0"/>
      <w:sz w:val="20"/>
      <w:szCs w:val="20"/>
    </w:rPr>
  </w:style>
  <w:style w:type="paragraph" w:customStyle="1" w:styleId="6">
    <w:name w:val="p26"/>
    <w:basedOn w:val="1"/>
    <w:uiPriority w:val="0"/>
    <w:pPr>
      <w:widowControl/>
      <w:jc w:val="left"/>
    </w:pPr>
    <w:rPr>
      <w:rFonts w:ascii="Times New Roman" w:hAnsi="Times New Roman" w:eastAsia="宋体" w:cs="Times New Roman"/>
      <w:kern w:val="0"/>
      <w:sz w:val="20"/>
      <w:szCs w:val="20"/>
    </w:rPr>
  </w:style>
</w:styles>
</file>

<file path=word/_rels/document.xml.rels><?xml version="1.0" encoding="UTF-8" standalone="yes"?>
<Relationships xmlns="http://schemas.openxmlformats.org/package/2006/relationships"><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966</Words>
  <Characters>5509</Characters>
  <Lines>45</Lines>
  <Paragraphs>12</Paragraphs>
  <ScaleCrop>false</ScaleCrop>
  <LinksUpToDate>false</LinksUpToDate>
  <CharactersWithSpaces>0</CharactersWithSpaces>
  <Application>WPS Office 个人版_9.1.0.4866_{F1E327BC-269C-435d-A152-05C5408002CA}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2017-08-09T09:22:00Z</dcterms:created>
  <dc:creator>2</dc:creator>
  <cp:lastModifiedBy>海南省财政厅</cp:lastModifiedBy>
  <dcterms:modified xsi:type="dcterms:W3CDTF">2017-08-10T06:39:10Z</dcterms:modified>
  <dc:title>海南省财政厅2016年度部门决算公开说明</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2052-9.1.0.4866</vt:lpwstr>
  </property>
</Properties>
</file>