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6F3" w:rsidRPr="00E506F3" w:rsidRDefault="00E506F3" w:rsidP="00E506F3">
      <w:pPr>
        <w:ind w:firstLine="883"/>
        <w:rPr>
          <w:b/>
          <w:sz w:val="44"/>
          <w:szCs w:val="44"/>
        </w:rPr>
      </w:pPr>
      <w:r w:rsidRPr="00E506F3">
        <w:rPr>
          <w:rFonts w:hint="eastAsia"/>
          <w:b/>
          <w:sz w:val="44"/>
          <w:szCs w:val="44"/>
        </w:rPr>
        <w:t>海南省粮食局</w:t>
      </w:r>
      <w:r w:rsidRPr="00E506F3">
        <w:rPr>
          <w:rFonts w:hint="eastAsia"/>
          <w:b/>
          <w:sz w:val="44"/>
          <w:szCs w:val="44"/>
        </w:rPr>
        <w:t>2016</w:t>
      </w:r>
      <w:r w:rsidRPr="00E506F3">
        <w:rPr>
          <w:rFonts w:hint="eastAsia"/>
          <w:b/>
          <w:sz w:val="44"/>
          <w:szCs w:val="44"/>
        </w:rPr>
        <w:t>年度部门决算</w:t>
      </w:r>
    </w:p>
    <w:p w:rsidR="00E506F3" w:rsidRDefault="00E506F3" w:rsidP="00E506F3">
      <w:pPr>
        <w:ind w:firstLine="420"/>
      </w:pPr>
    </w:p>
    <w:p w:rsidR="006203EF" w:rsidRDefault="006203EF" w:rsidP="006203EF">
      <w:pPr>
        <w:pStyle w:val="a6"/>
        <w:numPr>
          <w:ilvl w:val="0"/>
          <w:numId w:val="1"/>
        </w:numPr>
        <w:ind w:firstLineChars="0"/>
        <w:rPr>
          <w:rFonts w:ascii="黑体" w:eastAsia="黑体" w:hAnsi="黑体"/>
          <w:sz w:val="32"/>
          <w:szCs w:val="32"/>
        </w:rPr>
      </w:pPr>
      <w:r>
        <w:rPr>
          <w:rFonts w:ascii="黑体" w:eastAsia="黑体" w:hAnsi="黑体" w:hint="eastAsia"/>
          <w:sz w:val="32"/>
          <w:szCs w:val="32"/>
        </w:rPr>
        <w:t>主要职能及单位构成</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 xml:space="preserve">1.主要职能                        </w:t>
      </w:r>
      <w:bookmarkStart w:id="0" w:name="_GoBack"/>
      <w:bookmarkEnd w:id="0"/>
      <w:r w:rsidRPr="00E506F3">
        <w:rPr>
          <w:rFonts w:ascii="仿宋" w:eastAsia="仿宋" w:hAnsi="仿宋" w:hint="eastAsia"/>
          <w:sz w:val="32"/>
          <w:szCs w:val="32"/>
        </w:rPr>
        <w:t xml:space="preserve">               </w:t>
      </w:r>
    </w:p>
    <w:p w:rsid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 xml:space="preserve">1、负责全省粮食工作会议和各专业会议组织工作。2、承担全省粮食行业统计、储备粮统计、仓储设施统计、加工统计、行业人员统计等报表资料印刷、报表汇编。3、负责全省社会粮食调查、库存检查、行政监督检查、食用植物油供需调查、收购准入管理工作。4.负责做好粮情监测和预警工作。5、承担全省粮食应急日常工作.6、负责全省粮食收购许可管理工作。7.负责粮油食品质量安全检测工作。8.制定全省国有粮食企业改革方案和企业发展规划，指导和推动国有粮食企业改革发展。9、负责监督检查全省粮食流通体制改革有关政策的贯彻情况。10、承办省政府和上级部门交办的工作，其他行政事务工作。         </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2.部门决算单位构成</w:t>
      </w:r>
    </w:p>
    <w:p w:rsidR="00E506F3" w:rsidRPr="00E506F3" w:rsidRDefault="00E506F3" w:rsidP="004F1F77">
      <w:pPr>
        <w:spacing w:line="360" w:lineRule="auto"/>
        <w:ind w:firstLine="640"/>
        <w:rPr>
          <w:rFonts w:ascii="仿宋" w:eastAsia="仿宋" w:hAnsi="仿宋"/>
          <w:sz w:val="32"/>
          <w:szCs w:val="32"/>
        </w:rPr>
      </w:pPr>
      <w:r w:rsidRPr="00E506F3">
        <w:rPr>
          <w:rFonts w:ascii="仿宋" w:eastAsia="仿宋" w:hAnsi="仿宋" w:hint="eastAsia"/>
          <w:sz w:val="32"/>
          <w:szCs w:val="32"/>
        </w:rPr>
        <w:t>纳入海南省粮食局</w:t>
      </w:r>
      <w:r w:rsidR="004F1F77">
        <w:rPr>
          <w:rFonts w:ascii="仿宋" w:eastAsia="仿宋" w:hAnsi="仿宋" w:hint="eastAsia"/>
          <w:sz w:val="32"/>
          <w:szCs w:val="32"/>
        </w:rPr>
        <w:t>(</w:t>
      </w:r>
      <w:r w:rsidRPr="00E506F3">
        <w:rPr>
          <w:rFonts w:ascii="仿宋" w:eastAsia="仿宋" w:hAnsi="仿宋" w:hint="eastAsia"/>
          <w:sz w:val="32"/>
          <w:szCs w:val="32"/>
        </w:rPr>
        <w:t>部门</w:t>
      </w:r>
      <w:r w:rsidR="004F1F77">
        <w:rPr>
          <w:rFonts w:ascii="仿宋" w:eastAsia="仿宋" w:hAnsi="仿宋" w:hint="eastAsia"/>
          <w:sz w:val="32"/>
          <w:szCs w:val="32"/>
        </w:rPr>
        <w:t>)</w:t>
      </w:r>
      <w:r w:rsidRPr="00E506F3">
        <w:rPr>
          <w:rFonts w:ascii="仿宋" w:eastAsia="仿宋" w:hAnsi="仿宋" w:hint="eastAsia"/>
          <w:sz w:val="32"/>
          <w:szCs w:val="32"/>
        </w:rPr>
        <w:t>2016年度部门决算编制范围的二级预算单位包括：</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1. 海南省粮食局本级</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lastRenderedPageBreak/>
        <w:t>2. 海南省粮油产品质量检验站（下属单位）</w:t>
      </w:r>
    </w:p>
    <w:p w:rsidR="00E506F3" w:rsidRPr="00D85BD6" w:rsidRDefault="00E506F3" w:rsidP="00417471">
      <w:pPr>
        <w:spacing w:line="360" w:lineRule="auto"/>
        <w:ind w:firstLine="640"/>
        <w:rPr>
          <w:rFonts w:ascii="黑体" w:eastAsia="黑体" w:hAnsi="黑体"/>
          <w:sz w:val="32"/>
          <w:szCs w:val="32"/>
        </w:rPr>
      </w:pPr>
      <w:r w:rsidRPr="00D85BD6">
        <w:rPr>
          <w:rFonts w:ascii="黑体" w:eastAsia="黑体" w:hAnsi="黑体" w:hint="eastAsia"/>
          <w:sz w:val="32"/>
          <w:szCs w:val="32"/>
        </w:rPr>
        <w:t>二、2016年度部门决算报表</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1. 收入支出决算总表（见附件</w:t>
      </w:r>
      <w:r w:rsidR="00820B44">
        <w:rPr>
          <w:rFonts w:ascii="仿宋" w:eastAsia="仿宋" w:hAnsi="仿宋" w:hint="eastAsia"/>
          <w:sz w:val="32"/>
          <w:szCs w:val="32"/>
        </w:rPr>
        <w:t>1</w:t>
      </w:r>
      <w:r w:rsidRPr="00E506F3">
        <w:rPr>
          <w:rFonts w:ascii="仿宋" w:eastAsia="仿宋" w:hAnsi="仿宋" w:hint="eastAsia"/>
          <w:sz w:val="32"/>
          <w:szCs w:val="32"/>
        </w:rPr>
        <w:t>）</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2. 收入决算表（见附件</w:t>
      </w:r>
      <w:r w:rsidR="00820B44">
        <w:rPr>
          <w:rFonts w:ascii="仿宋" w:eastAsia="仿宋" w:hAnsi="仿宋" w:hint="eastAsia"/>
          <w:sz w:val="32"/>
          <w:szCs w:val="32"/>
        </w:rPr>
        <w:t>1</w:t>
      </w:r>
      <w:r w:rsidRPr="00E506F3">
        <w:rPr>
          <w:rFonts w:ascii="仿宋" w:eastAsia="仿宋" w:hAnsi="仿宋" w:hint="eastAsia"/>
          <w:sz w:val="32"/>
          <w:szCs w:val="32"/>
        </w:rPr>
        <w:t>）</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3. 支出决算表（见附件</w:t>
      </w:r>
      <w:r w:rsidR="00820B44">
        <w:rPr>
          <w:rFonts w:ascii="仿宋" w:eastAsia="仿宋" w:hAnsi="仿宋" w:hint="eastAsia"/>
          <w:sz w:val="32"/>
          <w:szCs w:val="32"/>
        </w:rPr>
        <w:t>1</w:t>
      </w:r>
      <w:r w:rsidRPr="00E506F3">
        <w:rPr>
          <w:rFonts w:ascii="仿宋" w:eastAsia="仿宋" w:hAnsi="仿宋" w:hint="eastAsia"/>
          <w:sz w:val="32"/>
          <w:szCs w:val="32"/>
        </w:rPr>
        <w:t>）</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4. 财政拨款收入支出决算总表（见附件</w:t>
      </w:r>
      <w:r w:rsidR="00820B44">
        <w:rPr>
          <w:rFonts w:ascii="仿宋" w:eastAsia="仿宋" w:hAnsi="仿宋" w:hint="eastAsia"/>
          <w:sz w:val="32"/>
          <w:szCs w:val="32"/>
        </w:rPr>
        <w:t>1</w:t>
      </w:r>
      <w:r w:rsidRPr="00E506F3">
        <w:rPr>
          <w:rFonts w:ascii="仿宋" w:eastAsia="仿宋" w:hAnsi="仿宋" w:hint="eastAsia"/>
          <w:sz w:val="32"/>
          <w:szCs w:val="32"/>
        </w:rPr>
        <w:t>）</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5. 一般公共预算财政拨款收入支出决算表（见附件</w:t>
      </w:r>
      <w:r w:rsidR="00820B44">
        <w:rPr>
          <w:rFonts w:ascii="仿宋" w:eastAsia="仿宋" w:hAnsi="仿宋" w:hint="eastAsia"/>
          <w:sz w:val="32"/>
          <w:szCs w:val="32"/>
        </w:rPr>
        <w:t>1</w:t>
      </w:r>
      <w:r w:rsidRPr="00E506F3">
        <w:rPr>
          <w:rFonts w:ascii="仿宋" w:eastAsia="仿宋" w:hAnsi="仿宋" w:hint="eastAsia"/>
          <w:sz w:val="32"/>
          <w:szCs w:val="32"/>
        </w:rPr>
        <w:t>）</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6. 一般公共预算财政拨款基本支出决算明细表</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（见附件</w:t>
      </w:r>
      <w:r w:rsidR="00820B44">
        <w:rPr>
          <w:rFonts w:ascii="仿宋" w:eastAsia="仿宋" w:hAnsi="仿宋" w:hint="eastAsia"/>
          <w:sz w:val="32"/>
          <w:szCs w:val="32"/>
        </w:rPr>
        <w:t>1</w:t>
      </w:r>
      <w:r w:rsidRPr="00E506F3">
        <w:rPr>
          <w:rFonts w:ascii="仿宋" w:eastAsia="仿宋" w:hAnsi="仿宋" w:hint="eastAsia"/>
          <w:sz w:val="32"/>
          <w:szCs w:val="32"/>
        </w:rPr>
        <w:t>）</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7. 政府性基金预算财政拨款收入支出决算表</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（见附件</w:t>
      </w:r>
      <w:r w:rsidR="003D38B1">
        <w:rPr>
          <w:rFonts w:ascii="仿宋" w:eastAsia="仿宋" w:hAnsi="仿宋" w:hint="eastAsia"/>
          <w:sz w:val="32"/>
          <w:szCs w:val="32"/>
        </w:rPr>
        <w:t>1</w:t>
      </w:r>
      <w:r w:rsidRPr="00E506F3">
        <w:rPr>
          <w:rFonts w:ascii="仿宋" w:eastAsia="仿宋" w:hAnsi="仿宋" w:hint="eastAsia"/>
          <w:sz w:val="32"/>
          <w:szCs w:val="32"/>
        </w:rPr>
        <w:t>）</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8. 一般公共预算财政拨款“三公”经费支出等信息</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统计表（见附件</w:t>
      </w:r>
      <w:r w:rsidR="003D38B1">
        <w:rPr>
          <w:rFonts w:ascii="仿宋" w:eastAsia="仿宋" w:hAnsi="仿宋" w:hint="eastAsia"/>
          <w:sz w:val="32"/>
          <w:szCs w:val="32"/>
        </w:rPr>
        <w:t>1</w:t>
      </w:r>
      <w:r w:rsidRPr="00E506F3">
        <w:rPr>
          <w:rFonts w:ascii="仿宋" w:eastAsia="仿宋" w:hAnsi="仿宋" w:hint="eastAsia"/>
          <w:sz w:val="32"/>
          <w:szCs w:val="32"/>
        </w:rPr>
        <w:t>）</w:t>
      </w:r>
    </w:p>
    <w:p w:rsidR="00E506F3" w:rsidRPr="00D85BD6" w:rsidRDefault="00E506F3" w:rsidP="00417471">
      <w:pPr>
        <w:spacing w:line="360" w:lineRule="auto"/>
        <w:ind w:firstLine="640"/>
        <w:rPr>
          <w:rFonts w:ascii="黑体" w:eastAsia="黑体" w:hAnsi="黑体"/>
          <w:sz w:val="32"/>
          <w:szCs w:val="32"/>
        </w:rPr>
      </w:pPr>
      <w:r w:rsidRPr="00D85BD6">
        <w:rPr>
          <w:rFonts w:ascii="黑体" w:eastAsia="黑体" w:hAnsi="黑体" w:hint="eastAsia"/>
          <w:sz w:val="32"/>
          <w:szCs w:val="32"/>
        </w:rPr>
        <w:t>三、2016年度部门决算情况说明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（一）关于海南省粮食局2016年度收入支出决算总体情说明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lastRenderedPageBreak/>
        <w:t xml:space="preserve"> 海南省粮食局2016年度部门决算收入总计3,715.16万元，与2015年度相比，减少1256.91万元，下降33.83%。主要原因：实际收入减少主要是洋浦粮库项目停建和</w:t>
      </w:r>
      <w:proofErr w:type="gramStart"/>
      <w:r w:rsidRPr="00E506F3">
        <w:rPr>
          <w:rFonts w:ascii="仿宋" w:eastAsia="仿宋" w:hAnsi="仿宋" w:hint="eastAsia"/>
          <w:sz w:val="32"/>
          <w:szCs w:val="32"/>
        </w:rPr>
        <w:t>丘海</w:t>
      </w:r>
      <w:proofErr w:type="gramEnd"/>
      <w:r w:rsidRPr="00E506F3">
        <w:rPr>
          <w:rFonts w:ascii="仿宋" w:eastAsia="仿宋" w:hAnsi="仿宋" w:hint="eastAsia"/>
          <w:sz w:val="32"/>
          <w:szCs w:val="32"/>
        </w:rPr>
        <w:t>粮库进度缓慢，工程款减少。</w:t>
      </w:r>
    </w:p>
    <w:p w:rsidR="00D85BD6"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支出总计3,171.32万元，与2015年度相比，减少1340.55万元，下降29.7%。主要原因：是洋浦粮库项目停建和</w:t>
      </w:r>
      <w:proofErr w:type="gramStart"/>
      <w:r w:rsidRPr="00E506F3">
        <w:rPr>
          <w:rFonts w:ascii="仿宋" w:eastAsia="仿宋" w:hAnsi="仿宋" w:hint="eastAsia"/>
          <w:sz w:val="32"/>
          <w:szCs w:val="32"/>
        </w:rPr>
        <w:t>丘海</w:t>
      </w:r>
      <w:proofErr w:type="gramEnd"/>
      <w:r w:rsidRPr="00E506F3">
        <w:rPr>
          <w:rFonts w:ascii="仿宋" w:eastAsia="仿宋" w:hAnsi="仿宋" w:hint="eastAsia"/>
          <w:sz w:val="32"/>
          <w:szCs w:val="32"/>
        </w:rPr>
        <w:t>粮库进度缓慢，工程款减少。同时实际支出相应减少。</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（二）关于海南省粮食局2016年度收入决算情况说明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本年收入合计3,715.16万元，其中：财政拨款收入3,665.33万元，占98.66%；其他收入49.83万元，占1.34%。</w:t>
      </w:r>
    </w:p>
    <w:p w:rsidR="00E506F3" w:rsidRPr="00D85BD6" w:rsidRDefault="00E506F3" w:rsidP="00417471">
      <w:pPr>
        <w:spacing w:line="360" w:lineRule="auto"/>
        <w:ind w:firstLine="640"/>
        <w:rPr>
          <w:rFonts w:ascii="仿宋" w:eastAsia="仿宋" w:hAnsi="仿宋"/>
          <w:sz w:val="32"/>
          <w:szCs w:val="32"/>
        </w:rPr>
      </w:pPr>
      <w:r w:rsidRPr="00D85BD6">
        <w:rPr>
          <w:rFonts w:ascii="仿宋" w:eastAsia="仿宋" w:hAnsi="仿宋" w:hint="eastAsia"/>
          <w:sz w:val="32"/>
          <w:szCs w:val="32"/>
        </w:rPr>
        <w:t>（三）关于海南省粮食局2016年度支出决算情况说明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 xml:space="preserve">本年支出合计3,171.32万元，其中：基本支出963.01万元，占30.37%；项目支出2,208.32万元，占69.63%； </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（四）关于海南省粮食局2016年度财政拨款收入支出决算总体情况说明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海南省粮食局2016年度财政拨款收入3,665.33万元，与2015年度相比，减少1192.33万元，下降24.54%。主要原因：是洋浦粮库项目停建和</w:t>
      </w:r>
      <w:proofErr w:type="gramStart"/>
      <w:r w:rsidRPr="00E506F3">
        <w:rPr>
          <w:rFonts w:ascii="仿宋" w:eastAsia="仿宋" w:hAnsi="仿宋" w:hint="eastAsia"/>
          <w:sz w:val="32"/>
          <w:szCs w:val="32"/>
        </w:rPr>
        <w:t>丘海</w:t>
      </w:r>
      <w:proofErr w:type="gramEnd"/>
      <w:r w:rsidRPr="00E506F3">
        <w:rPr>
          <w:rFonts w:ascii="仿宋" w:eastAsia="仿宋" w:hAnsi="仿宋" w:hint="eastAsia"/>
          <w:sz w:val="32"/>
          <w:szCs w:val="32"/>
        </w:rPr>
        <w:t>粮库进度缓慢，工程款减</w:t>
      </w:r>
      <w:r w:rsidRPr="00E506F3">
        <w:rPr>
          <w:rFonts w:ascii="仿宋" w:eastAsia="仿宋" w:hAnsi="仿宋" w:hint="eastAsia"/>
          <w:sz w:val="32"/>
          <w:szCs w:val="32"/>
        </w:rPr>
        <w:lastRenderedPageBreak/>
        <w:t>少。</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财政拨款支出3,127.58万元，与2015年度相比，减少1284.72万元，下降29.1%。主要原因：是洋浦粮库项目停建和</w:t>
      </w:r>
      <w:proofErr w:type="gramStart"/>
      <w:r w:rsidRPr="00E506F3">
        <w:rPr>
          <w:rFonts w:ascii="仿宋" w:eastAsia="仿宋" w:hAnsi="仿宋" w:hint="eastAsia"/>
          <w:sz w:val="32"/>
          <w:szCs w:val="32"/>
        </w:rPr>
        <w:t>丘海</w:t>
      </w:r>
      <w:proofErr w:type="gramEnd"/>
      <w:r w:rsidRPr="00E506F3">
        <w:rPr>
          <w:rFonts w:ascii="仿宋" w:eastAsia="仿宋" w:hAnsi="仿宋" w:hint="eastAsia"/>
          <w:sz w:val="32"/>
          <w:szCs w:val="32"/>
        </w:rPr>
        <w:t>粮库进度缓慢，工程款减少。同时实际支出相应减少。</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（五）关于海南省粮食局2016年度一般公共预算财政拨款支出决算情况说明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 xml:space="preserve">1.一般公共预算财政拨款收入决算总体情况 </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海南省粮食局2016年度一般公共预算财政拨款收入3,665.33万元。</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 xml:space="preserve">2.一般公共预算财政拨款支出决算总体情况 </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海南省粮食局2016年度一般公共预算财政拨款支出3,127.58万元，占本年支出合计的98.62%。与2015年度相比，财政拨款支出减少1284.72万元，下降29.1%。</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3. 财政拨款支出决算结构情况</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海南省粮食局2016年度一般公共预算财政拨款支出3,127.58万元，主要用于以下方面：一般公共服务（类）支出0万元，社会保障和就业（类）支出472.31万元，占15.1%；</w:t>
      </w:r>
      <w:r w:rsidRPr="00E506F3">
        <w:rPr>
          <w:rFonts w:ascii="仿宋" w:eastAsia="仿宋" w:hAnsi="仿宋" w:hint="eastAsia"/>
          <w:sz w:val="32"/>
          <w:szCs w:val="32"/>
        </w:rPr>
        <w:lastRenderedPageBreak/>
        <w:t>医疗和计划生育支出13.93万元，占0.45%；商业服务等支出12.87万元，占0.41%；住房保障支出40.87万元，占1.31%；粮油物资支出储备支出2587.59万元 占,82.73%。</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4.财政拨款支出决算具体情况。</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海南省粮食局2016年度财政拨款支出年初预算为1306.09万元，支出决算为3,127.58万元，完成年初预算的239.5%。决算数大于预算数的主要原因：年中调整为7600.32万元，已执行3171.32万元，年中调整是由于年初项目结转结余3776.94万元，年终粮库维修改造资金1533.98万元，粮食补贴918.9万元，工资调整增加人员经费35万元。</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（六）关于海南省粮食局2016年度一般公共预算财政拨款基本支出决算明细情况说明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海南省粮食局2016年度财政拨款基本支出962.76万元，其中：人员经费872.85万元，主要包括：基本工资、津贴补贴、奖金、社会保障缴费、伙食费、伙食补助费、绩效工资、其他工资福利支出等、离休费、退休费、退职（役）费、抚恤金、生活补助、救济费、医疗费、助学金、奖励金、生产补贴、住房公积金、提租补贴、购房补贴、其他对个人和家庭的补助支出等。公用经费89.91万元，主要包括：办公费、印刷费、咨询费、手续费、水费、电费、邮电费、取暖</w:t>
      </w:r>
      <w:r w:rsidRPr="00E506F3">
        <w:rPr>
          <w:rFonts w:ascii="仿宋" w:eastAsia="仿宋" w:hAnsi="仿宋" w:hint="eastAsia"/>
          <w:sz w:val="32"/>
          <w:szCs w:val="32"/>
        </w:rPr>
        <w:lastRenderedPageBreak/>
        <w:t>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（七）关于海南省粮食局2016年度一般公共预算财政拨款“三公”经费支出决算情况说明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1. “三公”经费财政拨款支出决算总体情况说明。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海南省粮食局2016年度“三公”经费财政拨款支出预算为21.2万元，支出决算为6.89万元，完成预算的32.5%。其中：因公出国（境）费支出决算为0.00万元，完成预算公务用车购置及运行费支出决算为6.64万元，完成预算的46.7%；公务接待费支出决算为0.25万元，完成预算的3.57%。</w:t>
      </w:r>
    </w:p>
    <w:p w:rsidR="00E506F3" w:rsidRPr="00E506F3" w:rsidRDefault="00A4101B" w:rsidP="00417471">
      <w:pPr>
        <w:spacing w:line="360" w:lineRule="auto"/>
        <w:ind w:firstLine="640"/>
        <w:rPr>
          <w:rFonts w:ascii="仿宋" w:eastAsia="仿宋" w:hAnsi="仿宋"/>
          <w:sz w:val="32"/>
          <w:szCs w:val="32"/>
        </w:rPr>
      </w:pPr>
      <w:r>
        <w:rPr>
          <w:rFonts w:ascii="仿宋" w:eastAsia="仿宋" w:hAnsi="仿宋" w:hint="eastAsia"/>
          <w:sz w:val="32"/>
          <w:szCs w:val="32"/>
        </w:rPr>
        <w:t xml:space="preserve"> </w:t>
      </w:r>
      <w:r w:rsidR="00E506F3" w:rsidRPr="00E506F3">
        <w:rPr>
          <w:rFonts w:ascii="仿宋" w:eastAsia="仿宋" w:hAnsi="仿宋" w:hint="eastAsia"/>
          <w:sz w:val="32"/>
          <w:szCs w:val="32"/>
        </w:rPr>
        <w:t>2016年度“三公”经费财政拨款支出决算数比2015年度增加(减少)18.33万元，下降72.68%，其中：公务用车购置及运行费支出决算减少18.43万元，下降73.51%；公务接待费支出决算增加0.1万元，增加66.7%。因公出国（境）费支出决算为0；公务用车购置及运行费支出决算增加减少的主要原因是公车改革减少车辆3辆。；公务接待费支出决算增加的主要原因是2015年接待一次。2016年接待2次。</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lastRenderedPageBreak/>
        <w:t>2. “三公”经费财政拨款支出决算具体情况说明。</w:t>
      </w:r>
    </w:p>
    <w:p w:rsidR="00E506F3" w:rsidRPr="00E506F3" w:rsidRDefault="00E506F3" w:rsidP="00417471">
      <w:pPr>
        <w:spacing w:line="360" w:lineRule="auto"/>
        <w:ind w:firstLineChars="250" w:firstLine="800"/>
        <w:rPr>
          <w:rFonts w:ascii="仿宋" w:eastAsia="仿宋" w:hAnsi="仿宋"/>
          <w:sz w:val="32"/>
          <w:szCs w:val="32"/>
        </w:rPr>
      </w:pPr>
      <w:r w:rsidRPr="00E506F3">
        <w:rPr>
          <w:rFonts w:ascii="仿宋" w:eastAsia="仿宋" w:hAnsi="仿宋" w:hint="eastAsia"/>
          <w:sz w:val="32"/>
          <w:szCs w:val="32"/>
        </w:rPr>
        <w:t>2016年度“三公”经费财政拨款支出决算中，因公出国（境）费支出决算0.00万元，占0%；公务用车购置及运行费支出决算6.64万元，占96.4%；公务接待费支出决算0.25万元，占3.6%。具体情况如下：</w:t>
      </w:r>
    </w:p>
    <w:p w:rsidR="00A4101B"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（1）因公出国（境）费支出0.00万元。</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（2）公务用车购置及运行费支出6.64万元。其中：公务用车购置支出0.00万元，年末公务用车保有量2辆。公务用车运行支出6.64万元，主要用于公务用车燃油和车辆维修等。</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（3）公务接待费支出0.25万元，全年国内公务接待1批次（含外事接待0批次），国（境）外公务接待0批次；国内公务接待7人次（含外事接待0人次），国（境）外公务接待0人次。</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（八）海南省粮食局2016年度预算绩效情况说明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1.绩效管理工作开展情况。根据财政预算管理要求，我部门（单位）组织对2016年度一般公共预算项目支出全面开展绩效自评。其中，二级项目</w:t>
      </w:r>
      <w:r w:rsidR="00A24298">
        <w:rPr>
          <w:rFonts w:ascii="仿宋" w:eastAsia="仿宋" w:hAnsi="仿宋" w:hint="eastAsia"/>
          <w:sz w:val="32"/>
          <w:szCs w:val="32"/>
        </w:rPr>
        <w:t>1</w:t>
      </w:r>
      <w:r w:rsidRPr="00E506F3">
        <w:rPr>
          <w:rFonts w:ascii="仿宋" w:eastAsia="仿宋" w:hAnsi="仿宋" w:hint="eastAsia"/>
          <w:sz w:val="32"/>
          <w:szCs w:val="32"/>
        </w:rPr>
        <w:t>个，共涉及资金</w:t>
      </w:r>
      <w:r w:rsidR="00A24298">
        <w:rPr>
          <w:rFonts w:ascii="仿宋" w:eastAsia="仿宋" w:hAnsi="仿宋" w:hint="eastAsia"/>
          <w:sz w:val="32"/>
          <w:szCs w:val="32"/>
        </w:rPr>
        <w:t>224</w:t>
      </w:r>
      <w:r w:rsidRPr="00E506F3">
        <w:rPr>
          <w:rFonts w:ascii="仿宋" w:eastAsia="仿宋" w:hAnsi="仿宋" w:hint="eastAsia"/>
          <w:sz w:val="32"/>
          <w:szCs w:val="32"/>
        </w:rPr>
        <w:t>万元，自评覆盖率达到</w:t>
      </w:r>
      <w:r w:rsidR="00A24298">
        <w:rPr>
          <w:rFonts w:ascii="仿宋" w:eastAsia="仿宋" w:hAnsi="仿宋" w:hint="eastAsia"/>
          <w:sz w:val="32"/>
          <w:szCs w:val="32"/>
        </w:rPr>
        <w:t>100</w:t>
      </w:r>
      <w:r w:rsidRPr="00E506F3">
        <w:rPr>
          <w:rFonts w:ascii="仿宋" w:eastAsia="仿宋" w:hAnsi="仿宋" w:hint="eastAsia"/>
          <w:sz w:val="32"/>
          <w:szCs w:val="32"/>
        </w:rPr>
        <w:t>%。</w:t>
      </w:r>
    </w:p>
    <w:p w:rsidR="00E506F3" w:rsidRPr="00820B44" w:rsidRDefault="00E506F3" w:rsidP="00417471">
      <w:pPr>
        <w:spacing w:line="360" w:lineRule="auto"/>
        <w:ind w:firstLine="640"/>
        <w:outlineLvl w:val="0"/>
        <w:rPr>
          <w:rFonts w:ascii="仿宋" w:eastAsia="仿宋" w:hAnsi="仿宋"/>
          <w:sz w:val="32"/>
          <w:szCs w:val="32"/>
        </w:rPr>
      </w:pPr>
      <w:r w:rsidRPr="00E506F3">
        <w:rPr>
          <w:rFonts w:ascii="仿宋" w:eastAsia="仿宋" w:hAnsi="仿宋" w:hint="eastAsia"/>
          <w:sz w:val="32"/>
          <w:szCs w:val="32"/>
        </w:rPr>
        <w:lastRenderedPageBreak/>
        <w:t>共组织对“</w:t>
      </w:r>
      <w:r w:rsidR="006B3EA5">
        <w:rPr>
          <w:rFonts w:ascii="仿宋" w:eastAsia="仿宋" w:hAnsi="仿宋" w:hint="eastAsia"/>
          <w:sz w:val="32"/>
          <w:szCs w:val="32"/>
        </w:rPr>
        <w:t>粮油事物管理</w:t>
      </w:r>
      <w:r w:rsidRPr="00E506F3">
        <w:rPr>
          <w:rFonts w:ascii="仿宋" w:eastAsia="仿宋" w:hAnsi="仿宋" w:hint="eastAsia"/>
          <w:sz w:val="32"/>
          <w:szCs w:val="32"/>
        </w:rPr>
        <w:t>”等进行了绩效评价，涉及一般公共预算支出</w:t>
      </w:r>
      <w:r w:rsidR="006B3EA5">
        <w:rPr>
          <w:rFonts w:ascii="仿宋" w:eastAsia="仿宋" w:hAnsi="仿宋" w:hint="eastAsia"/>
          <w:sz w:val="32"/>
          <w:szCs w:val="32"/>
        </w:rPr>
        <w:t>224</w:t>
      </w:r>
      <w:r w:rsidRPr="00E506F3">
        <w:rPr>
          <w:rFonts w:ascii="仿宋" w:eastAsia="仿宋" w:hAnsi="仿宋" w:hint="eastAsia"/>
          <w:sz w:val="32"/>
          <w:szCs w:val="32"/>
        </w:rPr>
        <w:t>万元。从评价情况来看</w:t>
      </w:r>
      <w:r w:rsidR="00820B44" w:rsidRPr="00820B44">
        <w:rPr>
          <w:rFonts w:ascii="仿宋" w:eastAsia="仿宋" w:hAnsi="仿宋" w:hint="eastAsia"/>
          <w:bCs/>
          <w:sz w:val="32"/>
          <w:szCs w:val="32"/>
        </w:rPr>
        <w:t>项目基本上按照预期目标和进度完成，项目符合要求，达到规定的绩效指标，项目自评得分95分，</w:t>
      </w:r>
      <w:r w:rsidR="00820B44" w:rsidRPr="00820B44">
        <w:rPr>
          <w:rFonts w:ascii="仿宋" w:eastAsia="仿宋" w:hAnsi="仿宋" w:hint="eastAsia"/>
          <w:sz w:val="32"/>
          <w:szCs w:val="32"/>
        </w:rPr>
        <w:t>综合评价为优秀</w:t>
      </w:r>
      <w:r w:rsidR="00820B44" w:rsidRPr="00820B44">
        <w:rPr>
          <w:rFonts w:ascii="仿宋" w:eastAsia="仿宋" w:hAnsi="仿宋" w:hint="eastAsia"/>
          <w:bCs/>
          <w:sz w:val="32"/>
          <w:szCs w:val="32"/>
        </w:rPr>
        <w:t>。</w:t>
      </w:r>
      <w:r w:rsidR="00820B44" w:rsidRPr="00820B44">
        <w:rPr>
          <w:rFonts w:ascii="仿宋" w:eastAsia="仿宋" w:hAnsi="仿宋" w:hint="eastAsia"/>
          <w:sz w:val="32"/>
          <w:szCs w:val="32"/>
        </w:rPr>
        <w:t>项目预算资金224万元，实际到位资金224万元。由省财政厅分批下达项目资金224万元。项目实际使用资金193.9万元，无超支，略有结余其中印刷费37636元，公务车运行维护费16500元，其他商品和服务支出294974元，其他资本性支出124380元，差旅费425020元，维修费304900元，租赁费,36000元，会议费89327元，培训费388483元，接待费2480元，信息网络软件费53600元，其他工资福利115200元.委托业务费100000元，误餐补助3120元，基本在预算支出范围内。项目于12月完成达到预期目标。</w:t>
      </w:r>
      <w:r w:rsidR="00820B44" w:rsidRPr="00820B44">
        <w:rPr>
          <w:rFonts w:ascii="仿宋" w:eastAsia="仿宋" w:hAnsi="仿宋" w:hint="eastAsia"/>
          <w:color w:val="000000"/>
          <w:sz w:val="32"/>
          <w:szCs w:val="32"/>
        </w:rPr>
        <w:t>提高了工作效率和工作质量。确保了粮油事物工作的顺利开展。</w:t>
      </w:r>
    </w:p>
    <w:p w:rsidR="003D1D8B" w:rsidRPr="003D1D8B"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2.</w:t>
      </w:r>
      <w:proofErr w:type="gramStart"/>
      <w:r w:rsidRPr="00E506F3">
        <w:rPr>
          <w:rFonts w:ascii="仿宋" w:eastAsia="仿宋" w:hAnsi="仿宋" w:hint="eastAsia"/>
          <w:sz w:val="32"/>
          <w:szCs w:val="32"/>
        </w:rPr>
        <w:t>我部门</w:t>
      </w:r>
      <w:proofErr w:type="gramEnd"/>
      <w:r w:rsidRPr="00E506F3">
        <w:rPr>
          <w:rFonts w:ascii="仿宋" w:eastAsia="仿宋" w:hAnsi="仿宋" w:hint="eastAsia"/>
          <w:sz w:val="32"/>
          <w:szCs w:val="32"/>
        </w:rPr>
        <w:t>根据年初设定的绩效目标，</w:t>
      </w:r>
      <w:r w:rsidR="00032FE2">
        <w:rPr>
          <w:rFonts w:ascii="仿宋" w:eastAsia="仿宋" w:hAnsi="仿宋" w:hint="eastAsia"/>
          <w:sz w:val="32"/>
          <w:szCs w:val="32"/>
        </w:rPr>
        <w:t>粮油事物管理</w:t>
      </w:r>
      <w:r w:rsidRPr="00E506F3">
        <w:rPr>
          <w:rFonts w:ascii="仿宋" w:eastAsia="仿宋" w:hAnsi="仿宋" w:hint="eastAsia"/>
          <w:sz w:val="32"/>
          <w:szCs w:val="32"/>
        </w:rPr>
        <w:t>自评得分为</w:t>
      </w:r>
      <w:r w:rsidR="00032FE2">
        <w:rPr>
          <w:rFonts w:ascii="仿宋" w:eastAsia="仿宋" w:hAnsi="仿宋" w:hint="eastAsia"/>
          <w:sz w:val="32"/>
          <w:szCs w:val="32"/>
        </w:rPr>
        <w:t>95</w:t>
      </w:r>
      <w:r w:rsidRPr="00E506F3">
        <w:rPr>
          <w:rFonts w:ascii="仿宋" w:eastAsia="仿宋" w:hAnsi="仿宋" w:hint="eastAsia"/>
          <w:sz w:val="32"/>
          <w:szCs w:val="32"/>
        </w:rPr>
        <w:t>分。发现的主要问题及原因：</w:t>
      </w:r>
      <w:r w:rsidR="003D1D8B" w:rsidRPr="003D1D8B">
        <w:rPr>
          <w:rFonts w:ascii="仿宋" w:eastAsia="仿宋" w:hAnsi="仿宋" w:hint="eastAsia"/>
          <w:sz w:val="32"/>
          <w:szCs w:val="32"/>
        </w:rPr>
        <w:t>年度项目预算资金执行不到位，项目的可</w:t>
      </w:r>
      <w:r w:rsidR="003D1D8B" w:rsidRPr="003D1D8B">
        <w:rPr>
          <w:rFonts w:ascii="仿宋" w:eastAsia="仿宋" w:hAnsi="仿宋" w:hint="eastAsia"/>
          <w:bCs/>
          <w:color w:val="000000"/>
          <w:sz w:val="32"/>
          <w:szCs w:val="32"/>
        </w:rPr>
        <w:t>持续性</w:t>
      </w:r>
      <w:r w:rsidR="00E904E7">
        <w:rPr>
          <w:rFonts w:ascii="仿宋" w:eastAsia="仿宋" w:hAnsi="仿宋" w:hint="eastAsia"/>
          <w:bCs/>
          <w:color w:val="000000"/>
          <w:sz w:val="32"/>
          <w:szCs w:val="32"/>
        </w:rPr>
        <w:t>不够强</w:t>
      </w:r>
      <w:r w:rsidR="003D1D8B" w:rsidRPr="003D1D8B">
        <w:rPr>
          <w:rFonts w:ascii="仿宋" w:eastAsia="仿宋" w:hAnsi="仿宋" w:hint="eastAsia"/>
          <w:bCs/>
          <w:color w:val="000000"/>
          <w:sz w:val="32"/>
          <w:szCs w:val="32"/>
        </w:rPr>
        <w:t>，后续发展乏力</w:t>
      </w:r>
      <w:r w:rsidRPr="00E506F3">
        <w:rPr>
          <w:rFonts w:ascii="仿宋" w:eastAsia="仿宋" w:hAnsi="仿宋" w:hint="eastAsia"/>
          <w:sz w:val="32"/>
          <w:szCs w:val="32"/>
        </w:rPr>
        <w:t>。下一步改进措施：</w:t>
      </w:r>
      <w:r w:rsidR="003D1D8B" w:rsidRPr="003D1D8B">
        <w:rPr>
          <w:rFonts w:ascii="仿宋" w:eastAsia="仿宋" w:hAnsi="仿宋" w:hint="eastAsia"/>
          <w:sz w:val="32"/>
          <w:szCs w:val="32"/>
        </w:rPr>
        <w:t>建议加大年度项目预算执行力度，严格按预算使用资金，开源节流。</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《项目支出绩效自评表》</w:t>
      </w:r>
      <w:r w:rsidR="003D1D8B">
        <w:rPr>
          <w:rFonts w:ascii="仿宋" w:eastAsia="仿宋" w:hAnsi="仿宋" w:hint="eastAsia"/>
          <w:sz w:val="32"/>
          <w:szCs w:val="32"/>
        </w:rPr>
        <w:t>见附件</w:t>
      </w:r>
      <w:r w:rsidR="00820B44">
        <w:rPr>
          <w:rFonts w:ascii="仿宋" w:eastAsia="仿宋" w:hAnsi="仿宋" w:hint="eastAsia"/>
          <w:sz w:val="32"/>
          <w:szCs w:val="32"/>
        </w:rPr>
        <w:t>2</w:t>
      </w:r>
      <w:r w:rsidR="003D1D8B">
        <w:rPr>
          <w:rFonts w:ascii="仿宋" w:eastAsia="仿宋" w:hAnsi="仿宋" w:hint="eastAsia"/>
          <w:sz w:val="32"/>
          <w:szCs w:val="32"/>
        </w:rPr>
        <w:t>。</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（九）其他重要事项的情况说明</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lastRenderedPageBreak/>
        <w:t>1.机关运行经费支出情况。</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2016年度海南省粮食局机关运行经费78.58万元（为部门决算中行政单位和</w:t>
      </w:r>
      <w:proofErr w:type="gramStart"/>
      <w:r w:rsidRPr="00E506F3">
        <w:rPr>
          <w:rFonts w:ascii="仿宋" w:eastAsia="仿宋" w:hAnsi="仿宋" w:hint="eastAsia"/>
          <w:sz w:val="32"/>
          <w:szCs w:val="32"/>
        </w:rPr>
        <w:t>参公</w:t>
      </w:r>
      <w:proofErr w:type="gramEnd"/>
      <w:r w:rsidRPr="00E506F3">
        <w:rPr>
          <w:rFonts w:ascii="仿宋" w:eastAsia="仿宋" w:hAnsi="仿宋" w:hint="eastAsia"/>
          <w:sz w:val="32"/>
          <w:szCs w:val="32"/>
        </w:rPr>
        <w:t>事业单位使用一般公共预算财政拨款安排的基本支出中的日常公用经费支出），比2015年增加</w:t>
      </w:r>
      <w:r w:rsidR="009C330F">
        <w:rPr>
          <w:rFonts w:ascii="仿宋" w:eastAsia="仿宋" w:hAnsi="仿宋" w:hint="eastAsia"/>
          <w:sz w:val="32"/>
          <w:szCs w:val="32"/>
        </w:rPr>
        <w:t>14.2</w:t>
      </w:r>
      <w:r w:rsidRPr="00E506F3">
        <w:rPr>
          <w:rFonts w:ascii="仿宋" w:eastAsia="仿宋" w:hAnsi="仿宋" w:hint="eastAsia"/>
          <w:sz w:val="32"/>
          <w:szCs w:val="32"/>
        </w:rPr>
        <w:t>万元，增长（降低）</w:t>
      </w:r>
      <w:r w:rsidR="00F5148A">
        <w:rPr>
          <w:rFonts w:ascii="仿宋" w:eastAsia="仿宋" w:hAnsi="仿宋" w:hint="eastAsia"/>
          <w:sz w:val="32"/>
          <w:szCs w:val="32"/>
        </w:rPr>
        <w:t>22.1</w:t>
      </w:r>
      <w:r w:rsidRPr="00E506F3">
        <w:rPr>
          <w:rFonts w:ascii="仿宋" w:eastAsia="仿宋" w:hAnsi="仿宋" w:hint="eastAsia"/>
          <w:sz w:val="32"/>
          <w:szCs w:val="32"/>
        </w:rPr>
        <w:t>%。主要原因是：</w:t>
      </w:r>
      <w:r w:rsidR="009C330F">
        <w:rPr>
          <w:rFonts w:ascii="仿宋" w:eastAsia="仿宋" w:hAnsi="仿宋" w:hint="eastAsia"/>
          <w:sz w:val="32"/>
          <w:szCs w:val="32"/>
        </w:rPr>
        <w:t>2016年公车改革交通补助列入公用支出。</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2.政府采购支出情况。</w:t>
      </w:r>
    </w:p>
    <w:p w:rsidR="00BD02FE"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2016年度海南省粮食局政府采购支出总额</w:t>
      </w:r>
      <w:r w:rsidR="00BD02FE">
        <w:rPr>
          <w:rFonts w:ascii="仿宋" w:eastAsia="仿宋" w:hAnsi="仿宋" w:hint="eastAsia"/>
          <w:sz w:val="32"/>
          <w:szCs w:val="32"/>
        </w:rPr>
        <w:t>34.39</w:t>
      </w:r>
      <w:r w:rsidRPr="00E506F3">
        <w:rPr>
          <w:rFonts w:ascii="仿宋" w:eastAsia="仿宋" w:hAnsi="仿宋" w:hint="eastAsia"/>
          <w:sz w:val="32"/>
          <w:szCs w:val="32"/>
        </w:rPr>
        <w:t>万元，其中：政府采购货物支出</w:t>
      </w:r>
      <w:r w:rsidR="00BD02FE">
        <w:rPr>
          <w:rFonts w:ascii="仿宋" w:eastAsia="仿宋" w:hAnsi="仿宋" w:hint="eastAsia"/>
          <w:sz w:val="32"/>
          <w:szCs w:val="32"/>
        </w:rPr>
        <w:t>34.39</w:t>
      </w:r>
      <w:r w:rsidRPr="00E506F3">
        <w:rPr>
          <w:rFonts w:ascii="仿宋" w:eastAsia="仿宋" w:hAnsi="仿宋" w:hint="eastAsia"/>
          <w:sz w:val="32"/>
          <w:szCs w:val="32"/>
        </w:rPr>
        <w:t>万元</w:t>
      </w:r>
      <w:r w:rsidR="00BD02FE">
        <w:rPr>
          <w:rFonts w:ascii="仿宋" w:eastAsia="仿宋" w:hAnsi="仿宋" w:hint="eastAsia"/>
          <w:sz w:val="32"/>
          <w:szCs w:val="32"/>
        </w:rPr>
        <w:t>。</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3.国有资产占用情况。</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截至2016年12月31日，本部门共有车辆</w:t>
      </w:r>
      <w:r w:rsidR="00BD02FE">
        <w:rPr>
          <w:rFonts w:ascii="仿宋" w:eastAsia="仿宋" w:hAnsi="仿宋" w:hint="eastAsia"/>
          <w:sz w:val="32"/>
          <w:szCs w:val="32"/>
        </w:rPr>
        <w:t>2</w:t>
      </w:r>
      <w:r w:rsidRPr="00E506F3">
        <w:rPr>
          <w:rFonts w:ascii="仿宋" w:eastAsia="仿宋" w:hAnsi="仿宋" w:hint="eastAsia"/>
          <w:sz w:val="32"/>
          <w:szCs w:val="32"/>
        </w:rPr>
        <w:t>辆，其中，部级领导干部用车</w:t>
      </w:r>
      <w:r w:rsidR="00BD02FE">
        <w:rPr>
          <w:rFonts w:ascii="仿宋" w:eastAsia="仿宋" w:hAnsi="仿宋" w:hint="eastAsia"/>
          <w:sz w:val="32"/>
          <w:szCs w:val="32"/>
        </w:rPr>
        <w:t>1</w:t>
      </w:r>
      <w:r w:rsidRPr="00E506F3">
        <w:rPr>
          <w:rFonts w:ascii="仿宋" w:eastAsia="仿宋" w:hAnsi="仿宋" w:hint="eastAsia"/>
          <w:sz w:val="32"/>
          <w:szCs w:val="32"/>
        </w:rPr>
        <w:t>辆、一般公务用车</w:t>
      </w:r>
      <w:r w:rsidR="00BD02FE">
        <w:rPr>
          <w:rFonts w:ascii="仿宋" w:eastAsia="仿宋" w:hAnsi="仿宋" w:hint="eastAsia"/>
          <w:sz w:val="32"/>
          <w:szCs w:val="32"/>
        </w:rPr>
        <w:t>1</w:t>
      </w:r>
      <w:r w:rsidRPr="00E506F3">
        <w:rPr>
          <w:rFonts w:ascii="仿宋" w:eastAsia="仿宋" w:hAnsi="仿宋" w:hint="eastAsia"/>
          <w:sz w:val="32"/>
          <w:szCs w:val="32"/>
        </w:rPr>
        <w:t>辆</w:t>
      </w:r>
      <w:r w:rsidR="00BD02FE">
        <w:rPr>
          <w:rFonts w:ascii="仿宋" w:eastAsia="仿宋" w:hAnsi="仿宋" w:hint="eastAsia"/>
          <w:sz w:val="32"/>
          <w:szCs w:val="32"/>
        </w:rPr>
        <w:t>。</w:t>
      </w:r>
      <w:r w:rsidRPr="00E506F3">
        <w:rPr>
          <w:rFonts w:ascii="仿宋" w:eastAsia="仿宋" w:hAnsi="仿宋" w:hint="eastAsia"/>
          <w:sz w:val="32"/>
          <w:szCs w:val="32"/>
        </w:rPr>
        <w:t>单位价值50万元以上通用设备3台（套），单价100万元以上专用设备0台（套）。</w:t>
      </w:r>
    </w:p>
    <w:p w:rsidR="00E506F3" w:rsidRPr="00B37B9A" w:rsidRDefault="00E506F3" w:rsidP="00417471">
      <w:pPr>
        <w:spacing w:line="360" w:lineRule="auto"/>
        <w:ind w:firstLine="640"/>
        <w:rPr>
          <w:rFonts w:ascii="黑体" w:eastAsia="黑体" w:hAnsi="黑体"/>
          <w:sz w:val="32"/>
          <w:szCs w:val="32"/>
        </w:rPr>
      </w:pPr>
      <w:r w:rsidRPr="00B37B9A">
        <w:rPr>
          <w:rFonts w:ascii="黑体" w:eastAsia="黑体" w:hAnsi="黑体" w:hint="eastAsia"/>
          <w:sz w:val="32"/>
          <w:szCs w:val="32"/>
        </w:rPr>
        <w:t>四、名词解释</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（一）财政拨款收入：指本级财政当年拨付的资金。</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（二）事业收入：指事业单位开展专业业务活动及辅助活动取得的收入。</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lastRenderedPageBreak/>
        <w:t>（三）经营收入：指事业单位在专业业务活动及其辅助活动之外开展非独立核算经营活动取得的收入。</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（四）其他收入：指除上述“财政拨款收入”“事业收入”“经营收入”等以外的收入。</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（六）年初结转和结余：指以前年度尚未完成、结转到本年按有关规定继续使用的资金。</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（七）结余分配：指事业单位按规定提取的职工福利基金、事业基金和缴纳的所得税，以及建设单位按规定应交回的基本建设竣工项目结余资金。</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（八）年末结转和结余：指本年度或以前年度预算安排、因客观条件发生变化无法按原计划实施，需要延迟到以后年度按有关规定继续使用的资金。</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（九）基本支出：指为保障机构正常运转、完成日常工作任务而发生的人员支出和公用支出。</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lastRenderedPageBreak/>
        <w:t>（十）项目支出：指在基本支出之外为完成特定行政任务和事业发展目标所发生的支出。</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（十一）经营支出：指事业单位在专业业务活动及其辅助活动之外开展非独立核算经营活动发生的支出。</w:t>
      </w:r>
    </w:p>
    <w:p w:rsidR="00E506F3" w:rsidRPr="00E506F3"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（十二）“三公”经费：纳入本级财政预决算管理的“三公”经费，是指本级部门用一般公共预算</w:t>
      </w:r>
      <w:proofErr w:type="gramStart"/>
      <w:r w:rsidRPr="00E506F3">
        <w:rPr>
          <w:rFonts w:ascii="仿宋" w:eastAsia="仿宋" w:hAnsi="仿宋" w:hint="eastAsia"/>
          <w:sz w:val="32"/>
          <w:szCs w:val="32"/>
        </w:rPr>
        <w:t>财政财政</w:t>
      </w:r>
      <w:proofErr w:type="gramEnd"/>
      <w:r w:rsidRPr="00E506F3">
        <w:rPr>
          <w:rFonts w:ascii="仿宋" w:eastAsia="仿宋" w:hAnsi="仿宋" w:hint="eastAsia"/>
          <w:sz w:val="32"/>
          <w:szCs w:val="32"/>
        </w:rPr>
        <w:t>拨款安排的因公出国（境）费、公务用车购置及运行费和公务接待费。其中，因公出国（境）</w:t>
      </w:r>
      <w:proofErr w:type="gramStart"/>
      <w:r w:rsidRPr="00E506F3">
        <w:rPr>
          <w:rFonts w:ascii="仿宋" w:eastAsia="仿宋" w:hAnsi="仿宋" w:hint="eastAsia"/>
          <w:sz w:val="32"/>
          <w:szCs w:val="32"/>
        </w:rPr>
        <w:t>费反映</w:t>
      </w:r>
      <w:proofErr w:type="gramEnd"/>
      <w:r w:rsidRPr="00E506F3">
        <w:rPr>
          <w:rFonts w:ascii="仿宋" w:eastAsia="仿宋" w:hAnsi="仿宋" w:hint="eastAsia"/>
          <w:sz w:val="32"/>
          <w:szCs w:val="32"/>
        </w:rPr>
        <w:t>单位公务出国（境）的国际旅费、国外城市间交通费、住宿费、伙食费、培训费、公杂费等支出；公务用车购置及运行</w:t>
      </w:r>
      <w:proofErr w:type="gramStart"/>
      <w:r w:rsidRPr="00E506F3">
        <w:rPr>
          <w:rFonts w:ascii="仿宋" w:eastAsia="仿宋" w:hAnsi="仿宋" w:hint="eastAsia"/>
          <w:sz w:val="32"/>
          <w:szCs w:val="32"/>
        </w:rPr>
        <w:t>费反映</w:t>
      </w:r>
      <w:proofErr w:type="gramEnd"/>
      <w:r w:rsidRPr="00E506F3">
        <w:rPr>
          <w:rFonts w:ascii="仿宋" w:eastAsia="仿宋" w:hAnsi="仿宋" w:hint="eastAsia"/>
          <w:sz w:val="32"/>
          <w:szCs w:val="32"/>
        </w:rPr>
        <w:t>单位公务用车车辆购置支出（</w:t>
      </w:r>
      <w:proofErr w:type="gramStart"/>
      <w:r w:rsidRPr="00E506F3">
        <w:rPr>
          <w:rFonts w:ascii="仿宋" w:eastAsia="仿宋" w:hAnsi="仿宋" w:hint="eastAsia"/>
          <w:sz w:val="32"/>
          <w:szCs w:val="32"/>
        </w:rPr>
        <w:t>含车辆</w:t>
      </w:r>
      <w:proofErr w:type="gramEnd"/>
      <w:r w:rsidRPr="00E506F3">
        <w:rPr>
          <w:rFonts w:ascii="仿宋" w:eastAsia="仿宋" w:hAnsi="仿宋" w:hint="eastAsia"/>
          <w:sz w:val="32"/>
          <w:szCs w:val="32"/>
        </w:rPr>
        <w:t>购置税）及租用费、燃料费、维修费、过路过桥费、保险费、安全奖励费用等支出；公务接待</w:t>
      </w:r>
      <w:proofErr w:type="gramStart"/>
      <w:r w:rsidRPr="00E506F3">
        <w:rPr>
          <w:rFonts w:ascii="仿宋" w:eastAsia="仿宋" w:hAnsi="仿宋" w:hint="eastAsia"/>
          <w:sz w:val="32"/>
          <w:szCs w:val="32"/>
        </w:rPr>
        <w:t>费反映</w:t>
      </w:r>
      <w:proofErr w:type="gramEnd"/>
      <w:r w:rsidRPr="00E506F3">
        <w:rPr>
          <w:rFonts w:ascii="仿宋" w:eastAsia="仿宋" w:hAnsi="仿宋" w:hint="eastAsia"/>
          <w:sz w:val="32"/>
          <w:szCs w:val="32"/>
        </w:rPr>
        <w:t>单位按规定开支的各类公务接待（含外宾接待）支出。</w:t>
      </w:r>
    </w:p>
    <w:p w:rsidR="00820B44" w:rsidRDefault="00E506F3" w:rsidP="00417471">
      <w:pPr>
        <w:spacing w:line="360" w:lineRule="auto"/>
        <w:ind w:firstLine="640"/>
        <w:rPr>
          <w:rFonts w:ascii="仿宋" w:eastAsia="仿宋" w:hAnsi="仿宋"/>
          <w:sz w:val="32"/>
          <w:szCs w:val="32"/>
        </w:rPr>
      </w:pPr>
      <w:r w:rsidRPr="00E506F3">
        <w:rPr>
          <w:rFonts w:ascii="仿宋" w:eastAsia="仿宋" w:hAnsi="仿宋" w:hint="eastAsia"/>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E05AA1" w:rsidRPr="00E506F3" w:rsidRDefault="00992C61" w:rsidP="00992C61">
      <w:pPr>
        <w:spacing w:line="360" w:lineRule="auto"/>
        <w:ind w:firstLine="640"/>
        <w:rPr>
          <w:rFonts w:ascii="仿宋" w:eastAsia="仿宋" w:hAnsi="仿宋"/>
          <w:sz w:val="32"/>
          <w:szCs w:val="32"/>
        </w:rPr>
      </w:pPr>
      <w:r>
        <w:rPr>
          <w:rFonts w:ascii="仿宋" w:eastAsia="仿宋" w:hAnsi="仿宋" w:hint="eastAsia"/>
          <w:sz w:val="32"/>
          <w:szCs w:val="32"/>
        </w:rPr>
        <w:t>（十四）</w:t>
      </w:r>
      <w:r w:rsidR="00E506F3" w:rsidRPr="00E506F3">
        <w:rPr>
          <w:rFonts w:ascii="仿宋" w:eastAsia="仿宋" w:hAnsi="仿宋" w:hint="eastAsia"/>
          <w:sz w:val="32"/>
          <w:szCs w:val="32"/>
        </w:rPr>
        <w:t>支出功能分类的名词解释，各部门（单位）可</w:t>
      </w:r>
      <w:r>
        <w:rPr>
          <w:rFonts w:ascii="仿宋" w:eastAsia="仿宋" w:hAnsi="仿宋" w:hint="eastAsia"/>
          <w:sz w:val="32"/>
          <w:szCs w:val="32"/>
        </w:rPr>
        <w:lastRenderedPageBreak/>
        <w:t>根据实际支出情况填列。</w:t>
      </w:r>
    </w:p>
    <w:sectPr w:rsidR="00E05AA1" w:rsidRPr="00E506F3" w:rsidSect="00E05AA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C26" w:rsidRDefault="00E92C26" w:rsidP="00416BED">
      <w:pPr>
        <w:spacing w:before="0" w:after="0"/>
        <w:ind w:firstLine="420"/>
      </w:pPr>
      <w:r>
        <w:separator/>
      </w:r>
    </w:p>
  </w:endnote>
  <w:endnote w:type="continuationSeparator" w:id="0">
    <w:p w:rsidR="00E92C26" w:rsidRDefault="00E92C26" w:rsidP="00416BED">
      <w:pPr>
        <w:spacing w:before="0" w:after="0"/>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BED" w:rsidRDefault="00416BED" w:rsidP="00416BED">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BED" w:rsidRDefault="00416BED" w:rsidP="00416BED">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BED" w:rsidRDefault="00416BED" w:rsidP="00416BED">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C26" w:rsidRDefault="00E92C26" w:rsidP="00416BED">
      <w:pPr>
        <w:spacing w:before="0" w:after="0"/>
        <w:ind w:firstLine="420"/>
      </w:pPr>
      <w:r>
        <w:separator/>
      </w:r>
    </w:p>
  </w:footnote>
  <w:footnote w:type="continuationSeparator" w:id="0">
    <w:p w:rsidR="00E92C26" w:rsidRDefault="00E92C26" w:rsidP="00416BED">
      <w:pPr>
        <w:spacing w:before="0" w:after="0"/>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BED" w:rsidRDefault="00416BED" w:rsidP="00416BED">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BED" w:rsidRDefault="00416BED" w:rsidP="00416BED">
    <w:pPr>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BED" w:rsidRDefault="00416BED" w:rsidP="00416BED">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7F72D7"/>
    <w:multiLevelType w:val="hybridMultilevel"/>
    <w:tmpl w:val="414A149E"/>
    <w:lvl w:ilvl="0" w:tplc="77C420EA">
      <w:start w:val="1"/>
      <w:numFmt w:val="japaneseCounting"/>
      <w:lvlText w:val="%1、"/>
      <w:lvlJc w:val="left"/>
      <w:pPr>
        <w:ind w:left="1270" w:hanging="630"/>
      </w:pPr>
      <w:rPr>
        <w:rFonts w:ascii="黑体" w:eastAsia="黑体" w:hAnsi="黑体" w:hint="eastAsia"/>
        <w:sz w:val="32"/>
        <w:szCs w:val="32"/>
      </w:rPr>
    </w:lvl>
    <w:lvl w:ilvl="1" w:tplc="04090019">
      <w:start w:val="1"/>
      <w:numFmt w:val="lowerLetter"/>
      <w:lvlText w:val="%2)"/>
      <w:lvlJc w:val="left"/>
      <w:pPr>
        <w:ind w:left="1480" w:hanging="420"/>
      </w:pPr>
    </w:lvl>
    <w:lvl w:ilvl="2" w:tplc="0409001B">
      <w:start w:val="1"/>
      <w:numFmt w:val="lowerRoman"/>
      <w:lvlText w:val="%3."/>
      <w:lvlJc w:val="right"/>
      <w:pPr>
        <w:ind w:left="1900" w:hanging="420"/>
      </w:pPr>
    </w:lvl>
    <w:lvl w:ilvl="3" w:tplc="0409000F">
      <w:start w:val="1"/>
      <w:numFmt w:val="decimal"/>
      <w:lvlText w:val="%4."/>
      <w:lvlJc w:val="left"/>
      <w:pPr>
        <w:ind w:left="2320" w:hanging="420"/>
      </w:pPr>
    </w:lvl>
    <w:lvl w:ilvl="4" w:tplc="04090019">
      <w:start w:val="1"/>
      <w:numFmt w:val="lowerLetter"/>
      <w:lvlText w:val="%5)"/>
      <w:lvlJc w:val="left"/>
      <w:pPr>
        <w:ind w:left="2740" w:hanging="420"/>
      </w:pPr>
    </w:lvl>
    <w:lvl w:ilvl="5" w:tplc="0409001B">
      <w:start w:val="1"/>
      <w:numFmt w:val="lowerRoman"/>
      <w:lvlText w:val="%6."/>
      <w:lvlJc w:val="right"/>
      <w:pPr>
        <w:ind w:left="3160" w:hanging="420"/>
      </w:pPr>
    </w:lvl>
    <w:lvl w:ilvl="6" w:tplc="0409000F">
      <w:start w:val="1"/>
      <w:numFmt w:val="decimal"/>
      <w:lvlText w:val="%7."/>
      <w:lvlJc w:val="left"/>
      <w:pPr>
        <w:ind w:left="3580" w:hanging="420"/>
      </w:pPr>
    </w:lvl>
    <w:lvl w:ilvl="7" w:tplc="04090019">
      <w:start w:val="1"/>
      <w:numFmt w:val="lowerLetter"/>
      <w:lvlText w:val="%8)"/>
      <w:lvlJc w:val="left"/>
      <w:pPr>
        <w:ind w:left="4000" w:hanging="420"/>
      </w:pPr>
    </w:lvl>
    <w:lvl w:ilvl="8" w:tplc="0409001B">
      <w:start w:val="1"/>
      <w:numFmt w:val="lowerRoman"/>
      <w:lvlText w:val="%9."/>
      <w:lvlJc w:val="right"/>
      <w:pPr>
        <w:ind w:left="442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506F3"/>
    <w:rsid w:val="00032FE2"/>
    <w:rsid w:val="00140D4B"/>
    <w:rsid w:val="001836A3"/>
    <w:rsid w:val="003C2F99"/>
    <w:rsid w:val="003D1D8B"/>
    <w:rsid w:val="003D38B1"/>
    <w:rsid w:val="00416BED"/>
    <w:rsid w:val="00417471"/>
    <w:rsid w:val="00444A5C"/>
    <w:rsid w:val="00492656"/>
    <w:rsid w:val="00494A57"/>
    <w:rsid w:val="004F1F77"/>
    <w:rsid w:val="006203EF"/>
    <w:rsid w:val="006B3EA5"/>
    <w:rsid w:val="006E0337"/>
    <w:rsid w:val="007164D4"/>
    <w:rsid w:val="007C7BF7"/>
    <w:rsid w:val="00815075"/>
    <w:rsid w:val="00820B44"/>
    <w:rsid w:val="008D4B32"/>
    <w:rsid w:val="00992C61"/>
    <w:rsid w:val="009C330F"/>
    <w:rsid w:val="00A02D10"/>
    <w:rsid w:val="00A24298"/>
    <w:rsid w:val="00A4101B"/>
    <w:rsid w:val="00A91B13"/>
    <w:rsid w:val="00B0382C"/>
    <w:rsid w:val="00B37B9A"/>
    <w:rsid w:val="00B5091D"/>
    <w:rsid w:val="00BD02FE"/>
    <w:rsid w:val="00D85BD6"/>
    <w:rsid w:val="00DD3F11"/>
    <w:rsid w:val="00DE1ED3"/>
    <w:rsid w:val="00E05AA1"/>
    <w:rsid w:val="00E506F3"/>
    <w:rsid w:val="00E904E7"/>
    <w:rsid w:val="00E92C26"/>
    <w:rsid w:val="00F327FE"/>
    <w:rsid w:val="00F35E72"/>
    <w:rsid w:val="00F5148A"/>
    <w:rsid w:val="00F84C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A344B7D-43F2-4FAB-9E86-B0DE26B53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pPr>
        <w:spacing w:before="100" w:beforeAutospacing="1" w:after="100" w:afterAutospacing="1"/>
        <w:ind w:firstLineChars="200" w:firstLin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AA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6B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6BED"/>
    <w:rPr>
      <w:sz w:val="18"/>
      <w:szCs w:val="18"/>
    </w:rPr>
  </w:style>
  <w:style w:type="paragraph" w:styleId="a4">
    <w:name w:val="footer"/>
    <w:basedOn w:val="a"/>
    <w:link w:val="Char0"/>
    <w:uiPriority w:val="99"/>
    <w:semiHidden/>
    <w:unhideWhenUsed/>
    <w:rsid w:val="00416BE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16BED"/>
    <w:rPr>
      <w:sz w:val="18"/>
      <w:szCs w:val="18"/>
    </w:rPr>
  </w:style>
  <w:style w:type="paragraph" w:styleId="a5">
    <w:name w:val="Balloon Text"/>
    <w:basedOn w:val="a"/>
    <w:link w:val="Char1"/>
    <w:uiPriority w:val="99"/>
    <w:semiHidden/>
    <w:unhideWhenUsed/>
    <w:rsid w:val="00416BED"/>
    <w:pPr>
      <w:spacing w:before="0" w:after="0"/>
    </w:pPr>
    <w:rPr>
      <w:sz w:val="18"/>
      <w:szCs w:val="18"/>
    </w:rPr>
  </w:style>
  <w:style w:type="character" w:customStyle="1" w:styleId="Char1">
    <w:name w:val="批注框文本 Char"/>
    <w:basedOn w:val="a0"/>
    <w:link w:val="a5"/>
    <w:uiPriority w:val="99"/>
    <w:semiHidden/>
    <w:rsid w:val="00416BED"/>
    <w:rPr>
      <w:sz w:val="18"/>
      <w:szCs w:val="18"/>
    </w:rPr>
  </w:style>
  <w:style w:type="paragraph" w:styleId="a6">
    <w:name w:val="List Paragraph"/>
    <w:basedOn w:val="a"/>
    <w:uiPriority w:val="34"/>
    <w:qFormat/>
    <w:rsid w:val="006203EF"/>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532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17E04-3E30-4ED2-A167-145D1B918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TotalTime>
  <Pages>12</Pages>
  <Words>735</Words>
  <Characters>4192</Characters>
  <Application>Microsoft Office Word</Application>
  <DocSecurity>0</DocSecurity>
  <Lines>34</Lines>
  <Paragraphs>9</Paragraphs>
  <ScaleCrop>false</ScaleCrop>
  <Company/>
  <LinksUpToDate>false</LinksUpToDate>
  <CharactersWithSpaces>4918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lqx</dc:creator>
  <cp:lastModifiedBy>Administrator</cp:lastModifiedBy>
  <cp:revision>22</cp:revision>
  <dcterms:created xsi:type="dcterms:W3CDTF">2017-08-07T03:34:00Z</dcterms:created>
  <dcterms:modified xsi:type="dcterms:W3CDTF">2017-10-26T09:22:00Z</dcterms:modified>
</cp:coreProperties>
</file>